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Запрос застройщику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Комплект помогает проверить предложение о расчёте квартирами, запросить подтверждающие документы и сопоставить оплаченное право с обязательствами по ДДУ. Решение о сделке принимается по проверенным фактам и документам конкретного объекта.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До подписания сопоставьте условия ДДУ, уступки и документы банка с ч. 3 ст. 15.4 и ст. 11 Закона № 214-ФЗ, а при переводе долга — с п. 2 ст. 391 ГК РФ.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4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{{НАИМЕНОВАНИЕ_АДРЕСАТА}}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{{АДРЕС_АДРЕСАТА}}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{{НАИМЕНОВАНИЕ_ПОДРЯДЧИКА}}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{{ДАТА_ДОКУМЕНТА}}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4"/>
          <w:szCs w:val="24"/>
        </w:rPr>
        <w:t xml:space="preserve">ЗАПРОС о статусе объекта капитального строительства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{{НАИМЕНОВАНИЕ_ОБЪЕКТА_ПО_ПРОЕКТНОЙ_ДЕКЛАРАЦИИ}}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Уважаемые коллеги!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, согласованную сторонами для обмена документами.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{{ДОЛЖНОСТЬ_ПОДПИСАНТА}}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{{ФИО_ПОДПИСАНТА}}</w:t>
      </w:r>
    </w:p>
    <w:p>
      <w:r>
        <w:rPr>
          <w:i w:val="0"/>
          <w:color w:val="323539"/>
        </w:rP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4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Молчание адресата само по себе не доказывает состояние объекта.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Вам предлагают расчёт квартирами на объекте, который ещё не введён,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4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i w:val="0"/>
          <w:color w:val="323539"/>
          <w:sz w:val="24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