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2" w:lineRule="auto"/>
        <w:pBdr>
          <w:bottom w:val="single" w:sz="9" w:space="3" w:color="977A48"/>
        </w:pBdr>
      </w:pPr>
      <w:r>
        <w:rPr>
          <w:rFonts w:ascii="Arial" w:hAnsi="Arial"/>
          <w:b/>
          <w:color w:val="303438"/>
          <w:sz w:val="32"/>
        </w:rPr>
        <w:t>Первый день до подписания</w:t>
      </w:r>
    </w:p>
    <w:p>
      <w:pPr>
        <w:spacing w:before="0" w:after="60" w:line="252" w:lineRule="auto"/>
      </w:pPr>
      <w:r>
        <w:rPr>
          <w:rFonts w:ascii="Arial" w:hAnsi="Arial"/>
          <w:color w:val="303438"/>
          <w:sz w:val="18"/>
        </w:rPr>
        <w:t>Расчёт за работы квартирами или уступкой прав: зафиксировать предложение, направить запросы, сохранить доказательства и отложить решение до проверки.</w:t>
      </w:r>
    </w:p>
    <w:p>
      <w:pPr>
        <w:pStyle w:val="Heading1"/>
        <w:spacing w:before="100" w:after="40" w:line="252" w:lineRule="auto"/>
      </w:pPr>
      <w:r>
        <w:rPr>
          <w:rFonts w:ascii="Arial" w:hAnsi="Arial"/>
          <w:b/>
          <w:color w:val="303438"/>
          <w:sz w:val="20"/>
        </w:rPr>
        <w:t>1. Запишите предложение</w:t>
      </w:r>
    </w:p>
    <w:p>
      <w:pPr>
        <w:spacing w:before="0" w:after="60" w:line="252" w:lineRule="auto"/>
      </w:pPr>
      <w:r>
        <w:rPr>
          <w:rFonts w:ascii="Arial" w:hAnsi="Arial"/>
          <w:color w:val="303438"/>
          <w:sz w:val="18"/>
        </w:rPr>
        <w:t>Форма сделки, номер и дата ДДУ, объект, цедент и застройщик, цена метра, доля работ, дисконт. Уточните регистрацию ДДУ и стадию передачи объекта.</w:t>
      </w:r>
    </w:p>
    <w:p>
      <w:pPr>
        <w:pStyle w:val="Heading1"/>
        <w:spacing w:before="100" w:after="40" w:line="252" w:lineRule="auto"/>
      </w:pPr>
      <w:r>
        <w:rPr>
          <w:rFonts w:ascii="Arial" w:hAnsi="Arial"/>
          <w:b/>
          <w:color w:val="303438"/>
          <w:sz w:val="20"/>
        </w:rPr>
        <w:t>2. Зафиксируйте условия уступки</w:t>
      </w:r>
    </w:p>
    <w:p>
      <w:pPr>
        <w:spacing w:before="0" w:after="60" w:line="252" w:lineRule="auto"/>
      </w:pPr>
      <w:r>
        <w:rPr>
          <w:rFonts w:ascii="Arial" w:hAnsi="Arial"/>
          <w:color w:val="303438"/>
          <w:sz w:val="18"/>
        </w:rPr>
        <w:t>Выпишите дословно пункт об эскроу, цене уступки и переводе долга. Сохраните редакцию и номер пункта. При подписанном передаточном акте либо неподтверждённой стадии — СТОП до определения формы сделки.</w:t>
      </w:r>
    </w:p>
    <w:p>
      <w:pPr>
        <w:pStyle w:val="Heading1"/>
        <w:spacing w:before="100" w:after="40" w:line="252" w:lineRule="auto"/>
      </w:pPr>
      <w:r>
        <w:rPr>
          <w:rFonts w:ascii="Arial" w:hAnsi="Arial"/>
          <w:b/>
          <w:color w:val="303438"/>
          <w:sz w:val="20"/>
        </w:rPr>
        <w:t>3. Направьте два запроса</w:t>
      </w:r>
    </w:p>
    <w:p>
      <w:pPr>
        <w:spacing w:before="0" w:after="60" w:line="252" w:lineRule="auto"/>
      </w:pPr>
      <w:r>
        <w:rPr>
          <w:rFonts w:ascii="Arial" w:hAnsi="Arial"/>
          <w:color w:val="303438"/>
          <w:sz w:val="18"/>
        </w:rPr>
        <w:t>По словарю 50 заполните 54-zapros-sostoyanie-escrow.docx об эскроу и 53-zapros-status-obekta.docx о статусе объекта. Запросите банковское подтверждение поступления денег, сведения о ДДУ, разрешениях, вводе и передаче. Укажите срок и адрес ответа.</w:t>
      </w:r>
    </w:p>
    <w:p>
      <w:pPr>
        <w:pStyle w:val="Heading1"/>
        <w:spacing w:before="100" w:after="40" w:line="252" w:lineRule="auto"/>
      </w:pPr>
      <w:r>
        <w:rPr>
          <w:rFonts w:ascii="Arial" w:hAnsi="Arial"/>
          <w:b/>
          <w:color w:val="303438"/>
          <w:sz w:val="20"/>
        </w:rPr>
        <w:t>4. Подтвердите отправку</w:t>
      </w:r>
    </w:p>
    <w:p>
      <w:pPr>
        <w:spacing w:before="0" w:after="60" w:line="252" w:lineRule="auto"/>
      </w:pPr>
      <w:r>
        <w:rPr>
          <w:rFonts w:ascii="Arial" w:hAnsi="Arial"/>
          <w:color w:val="303438"/>
          <w:sz w:val="18"/>
        </w:rPr>
        <w:t>Удалите незаполненные поля, зарегистрируйте исходящие номера, сохраните письма, приложения, квитанции и доказательства вручения. Молчание не подтверждает оплату эскроу.</w:t>
      </w:r>
    </w:p>
    <w:p>
      <w:pPr>
        <w:pStyle w:val="Heading1"/>
        <w:spacing w:before="100" w:after="40" w:line="252" w:lineRule="auto"/>
      </w:pPr>
      <w:r>
        <w:rPr>
          <w:rFonts w:ascii="Arial" w:hAnsi="Arial"/>
          <w:b/>
          <w:color w:val="303438"/>
          <w:sz w:val="20"/>
        </w:rPr>
        <w:t>5. Ответьте на требование подписать сегодня</w:t>
      </w:r>
    </w:p>
    <w:p>
      <w:pPr>
        <w:spacing w:before="0" w:after="60" w:line="252" w:lineRule="auto"/>
      </w:pPr>
      <w:r>
        <w:rPr>
          <w:rFonts w:ascii="Arial" w:hAnsi="Arial"/>
          <w:color w:val="303438"/>
          <w:sz w:val="18"/>
        </w:rPr>
        <w:t>Заинтересованы в сделке, но подписываем после проверки документов банка, стадии передачи и условий уступки. Работы в счёт недвижимости до оформления проверенной формы расчёта не начинаем.</w:t>
      </w:r>
    </w:p>
    <w:p>
      <w:pPr>
        <w:pStyle w:val="Heading1"/>
        <w:spacing w:before="100" w:after="40" w:line="252" w:lineRule="auto"/>
      </w:pPr>
      <w:r>
        <w:rPr>
          <w:rFonts w:ascii="Arial" w:hAnsi="Arial"/>
          <w:b/>
          <w:color w:val="303438"/>
          <w:sz w:val="20"/>
        </w:rPr>
        <w:t>6. Перейдите к проверке сделки</w:t>
      </w:r>
    </w:p>
    <w:p>
      <w:pPr>
        <w:spacing w:before="0" w:after="60" w:line="252" w:lineRule="auto"/>
      </w:pPr>
      <w:r>
        <w:rPr>
          <w:rFonts w:ascii="Arial" w:hAnsi="Arial"/>
          <w:color w:val="303438"/>
          <w:sz w:val="18"/>
        </w:rPr>
        <w:t>Откройте алгоритм 51, заполните чек-лист 52, используйте памятку 55. Два и более красных флага — СТОП до документальной проверки, мер защиты, письменного решения руководителя и устранения правовых препятствий.</w:t>
      </w:r>
    </w:p>
    <w:p>
      <w:pPr>
        <w:pStyle w:val="Heading1"/>
        <w:pageBreakBefore w:val="0"/>
        <w:spacing w:before="100" w:after="40" w:line="252" w:lineRule="auto"/>
      </w:pPr>
      <w:r>
        <w:rPr>
          <w:rFonts w:ascii="Arial" w:hAnsi="Arial"/>
          <w:b/>
          <w:color w:val="303438"/>
          <w:sz w:val="20"/>
        </w:rPr>
        <w:t>Ответы на давление контрагента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Предложение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Ответ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Подписываем сегодня, иначе квартира уйдёт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Заинтересованы, вернёмся после подтверждения оплаты ДДУ, стадии передачи и условий уступки.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Справку по эскроу дадим потом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Запрос уже направлен. До банковского подтверждения оплату ДДУ не считаем проверенной.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Начинайте работы, оформим позже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Работы в счёт недвижимости начинаем после согласования документально подтверждённой формы расчёта.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Скидка действует до конца недели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Сначала оценим ликвидность, налоги, срок продажи и стоимость финансирования.</w:t>
            </w:r>
          </w:p>
        </w:tc>
      </w:tr>
    </w:tbl>
    <w:sectPr w:rsidR="00FC693F" w:rsidRPr="0006063C" w:rsidSect="00034616">
      <w:pgSz w:w="11906" w:h="16838"/>
      <w:pgMar w:top="765" w:right="1800" w:bottom="76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135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135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1353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