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Алгоритм: проверка расчёта метрами до входа</w:t>
      </w:r>
    </w:p>
    <w:p>
      <w:pPr>
        <w:pStyle w:val="Subtitle"/>
        <w:keepLines/>
      </w:pPr>
      <w:r>
        <w:t>Комплект «Расчёт метрами: проверка до подписи». Шесть шагов до подписания договора подряда и любых бумаг по метрам.</w:t>
      </w:r>
    </w:p>
    <w:p>
      <w:pPr>
        <w:pStyle w:val="Heading2"/>
        <w:keepLines/>
      </w:pPr>
      <w:r>
        <w:t>Назначение</w:t>
      </w:r>
    </w:p>
    <w:p>
      <w:pPr>
        <w:keepLines/>
      </w:pPr>
      <w:r>
        <w:t>Пошаговый порядок проверки предложения «рассчитаемся квартирами» до подписания договора подряда и любых бумаг по метрам. Отвечает на один вопрос: чем на самом деле платят — оплаченной квартирой или долгом за неё.</w:t>
      </w:r>
    </w:p>
    <w:p>
      <w:pPr>
        <w:pStyle w:val="Heading2"/>
        <w:keepLines/>
      </w:pPr>
      <w:r>
        <w:t>Когда применяется</w:t>
      </w:r>
    </w:p>
    <w:p>
      <w:pPr>
        <w:keepLines/>
      </w:pPr>
      <w:r>
        <w:t>Заказчик или застройщик предлагает оплатить работы (полностью или частично) объектами долевого участия: уступкой прав по ДДУ, ДДУ напрямую на подрядчика, «квартирой после ввода». Особенно — когда предложение сопровождается скидкой от цены метра: скидка это цена риска, и алгоритм помогает понять какого.</w:t>
      </w:r>
    </w:p>
    <w:p>
      <w:pPr>
        <w:pStyle w:val="Heading2"/>
        <w:keepLines/>
      </w:pPr>
      <w:r>
        <w:t>Граница применения</w:t>
      </w:r>
    </w:p>
    <w:p>
      <w:pPr>
        <w:keepLines/>
      </w:pPr>
      <w:r>
        <w:t>При отметке «→ юрист» получите правовую оценку до подписания документов. Алгоритм не запрещает расчёт метрами: он делает видимым, что именно предлагают, и переводит решение из «по старой памяти» в решение по проверенным фактам.</w:t>
      </w:r>
    </w:p>
    <w:p>
      <w:pPr>
        <w:pStyle w:val="Heading2"/>
        <w:keepLines/>
      </w:pPr>
      <w:r>
        <w:t>Шаг 1. Назвать форму сделки</w:t>
      </w:r>
    </w:p>
    <w:p>
      <w:pPr>
        <w:keepLines/>
      </w:pPr>
      <w:r>
        <w:t>Выясните и запишите, что именно предлагают оформить:</w:t>
      </w:r>
    </w:p>
    <w:p>
      <w:pPr>
        <w:keepLines/>
        <w:ind w:left="283" w:hanging="142"/>
      </w:pPr>
      <w:r>
        <w:t>— ДДУ напрямую на подрядчика;</w:t>
      </w:r>
    </w:p>
    <w:p>
      <w:pPr>
        <w:keepLines/>
        <w:ind w:left="283" w:hanging="142"/>
      </w:pPr>
      <w:r>
        <w:t>— уступка прав по ДДУ от третьего лица (чья это ДДУ — аффилированное физлицо? юрлицо застройщика?);</w:t>
      </w:r>
    </w:p>
    <w:p>
      <w:pPr>
        <w:keepLines/>
        <w:ind w:left="283" w:hanging="142"/>
      </w:pPr>
      <w:r>
        <w:t>— предварительный договор / соглашение «квартира после ввода»;</w:t>
      </w:r>
    </w:p>
    <w:p>
      <w:pPr>
        <w:keepLines/>
        <w:ind w:left="283" w:hanging="142"/>
      </w:pPr>
      <w:r>
        <w:t>— зачёт стоимости работ в счёт цены уступки: отдельно проверьте основание и момент зачёта; если цедент — юридическое лицо, учтите требование об оплате цены уступки после госрегистрации соглашения (ч. 3 ст. 11 Закона № 214-ФЗ). Результат шага: названная форма расчёта. Обещание «потом оформим» не подтверждает оплату.</w:t>
      </w:r>
    </w:p>
    <w:p>
      <w:pPr>
        <w:keepLines/>
      </w:pPr>
      <w:r>
        <w:t>Развилка: предварительный договор или устная договорённость «после ввода» → стоп, → юрист.</w:t>
      </w:r>
    </w:p>
    <w:p>
      <w:pPr>
        <w:keepLines/>
      </w:pPr>
      <w:r>
        <w:t>До регистрации права требования у подрядчика нет ничего.</w:t>
      </w:r>
    </w:p>
    <w:p>
      <w:pPr>
        <w:pStyle w:val="Heading2"/>
        <w:keepLines/>
      </w:pPr>
      <w:r>
        <w:t>Шаг 2. Проверить, оплачен ли ДДУ, который передают</w:t>
      </w:r>
    </w:p>
    <w:p>
      <w:pPr>
        <w:keepLines/>
      </w:pPr>
      <w:r>
        <w:t>Ключевой шаг. По ч. 3 ст. 15.4 Федерального закона № 214-ФЗ обязанность участника долевого строительства по оплате цены ДДУ считается исполненной с момента поступления денежных средств на счёт эскроу. Проверьте сумму поступлений по документу банка и условия ДДУ; открытие счёта без поступления денег само по себе не подтверждает оплату.</w:t>
      </w:r>
    </w:p>
    <w:p>
      <w:pPr>
        <w:keepLines/>
        <w:ind w:left="283" w:hanging="142"/>
      </w:pPr>
      <w:r>
        <w:t>— Запросите по передаваемому ДДУ: открыт ли счёт эскроу, в каком банке, пополнен ли, на какую сумму. Подтверждение — справка или выписка банка, не письмо застройщика. Форма — «Запрос о состоянии счёта эскроу по передаваемому ДДУ» из этого комплекта.</w:t>
      </w:r>
    </w:p>
    <w:p>
      <w:pPr>
        <w:keepLines/>
        <w:ind w:left="283" w:hanging="142"/>
      </w:pPr>
      <w:r>
        <w:t>— Прочитайте в проекте уступки формулировку об обязательствах: переходят ли на нового участника обязанности по внесению средств на счёт эскроу. Как читать этот пункт — памятка «Читаем уступку: пункт об обязательствах по эскроу». Развилка:</w:t>
      </w:r>
    </w:p>
    <w:p>
      <w:pPr>
        <w:keepLines/>
        <w:ind w:left="283" w:hanging="142"/>
      </w:pPr>
      <w:r>
        <w:t>— Эскроу пополнен на сумму договора, уступка передаёт оплаченное право → продолжайте проверку (шаг 3).</w:t>
      </w:r>
    </w:p>
    <w:p>
      <w:pPr>
        <w:keepLines/>
      </w:pPr>
      <w:r>
        <w:t>Эскроу не пополнен, и обязанность внести деньги переходит на подрядчика → это не оплата работ: подрядчик получает не квартиру, а долг за неё.</w:t>
      </w:r>
    </w:p>
    <w:p>
      <w:pPr>
        <w:keepLines/>
      </w:pPr>
      <w:r>
        <w:t>Зачёт встречных требований между сторонами сам по себе не подтверждает поступление денежных средств на счёт эскроу (ч. 3 ст. 15.4 Закона № 214-ФЗ). Если предлагается зачёт стоимости работ, отдельно проверьте основание, стороны и оформление зачёта, исполнение обязанности по оплате ДДУ и возможность уступки по ст. 11 Закона № 214-ФЗ. Акт о расчёте между сторонами не заменяет подтверждение банка о поступлении средств на эскроу.</w:t>
      </w:r>
    </w:p>
    <w:p>
      <w:pPr>
        <w:keepLines/>
      </w:pPr>
      <w:r>
        <w:t>Эскроу вообще не открыт → стоп, → юрист.</w:t>
      </w:r>
    </w:p>
    <w:p>
      <w:pPr>
        <w:pStyle w:val="Heading2"/>
        <w:keepLines/>
      </w:pPr>
      <w:r>
        <w:t>Шаг 3. Проверить объект и застройщика</w:t>
      </w:r>
    </w:p>
    <w:p>
      <w:pPr>
        <w:keepLines/>
        <w:ind w:left="283" w:hanging="142"/>
      </w:pPr>
      <w:r>
        <w:t>— ЕИСЖС (наш.дом.рф): проектная декларация, заявленный срок ввода, история переносов срока.</w:t>
      </w:r>
    </w:p>
    <w:p>
      <w:pPr>
        <w:keepLines/>
        <w:ind w:left="283" w:hanging="142"/>
      </w:pPr>
      <w:r>
        <w:t>— Разрешение на строительство: действует ли, до какой даты.</w:t>
      </w:r>
    </w:p>
    <w:p>
      <w:pPr>
        <w:keepLines/>
        <w:ind w:left="283" w:hanging="142"/>
      </w:pPr>
      <w:r>
        <w:t>— kad.arbitr.ru: иски к застройщику, дело о банкротстве.</w:t>
      </w:r>
    </w:p>
    <w:p>
      <w:pPr>
        <w:keepLines/>
        <w:ind w:left="283" w:hanging="142"/>
      </w:pPr>
      <w:r>
        <w:t>— ЕФРСБ / Федресурс: сообщения о намерении подать на банкротство.</w:t>
      </w:r>
    </w:p>
    <w:p>
      <w:pPr>
        <w:keepLines/>
        <w:ind w:left="283" w:hanging="142"/>
      </w:pPr>
      <w:r>
        <w:t>— Свежая выписка ЕГРЮЛ: статус, возраст компании, смена собственника. Письменную фиксацию состояния объекта даёт «Запрос застройщику о статусе объекта» из этого комплекта; собственная проверка по открытым источникам делается независимо от ответа на него.</w:t>
      </w:r>
    </w:p>
    <w:p>
      <w:pPr>
        <w:keepLines/>
      </w:pPr>
      <w:r>
        <w:t>Развилка: срок ввода уже переносился, разрешение на исходе или истекло, дом не принят надзором (ЗОС не выдано) → каждый пункт — самостоятельный красный флаг. Два и больше → входить только с юристом и обеспечением (шаг 6).</w:t>
      </w:r>
    </w:p>
    <w:p>
      <w:pPr>
        <w:pStyle w:val="Heading2"/>
        <w:keepLines/>
      </w:pPr>
      <w:r>
        <w:t>Шаг 4. Проверить состояние проектного финансирования и продаж</w:t>
      </w:r>
    </w:p>
    <w:p>
      <w:pPr>
        <w:keepLines/>
      </w:pPr>
      <w:r>
        <w:t>Условия проектного финансирования определяются кредитной документацией конкретного проекта. Финансирование может быть ограничено при нарушении предусмотренных ею условий (ковенантов); наличие, содержание и последствия таких условий нельзя устанавливать только по темпам продаж.</w:t>
      </w:r>
    </w:p>
    <w:p>
      <w:pPr>
        <w:keepLines/>
        <w:ind w:left="283" w:hanging="142"/>
      </w:pPr>
      <w:r>
        <w:t>Проверьте по документам проекта, есть ли ограничения финансирования и какое имущество или права переданы в обеспечение банку. Предложение расчёта квартирами само по себе не доказывает остановку финансирования или отсутствие у застройщика денежных средств.</w:t>
      </w:r>
    </w:p>
    <w:p>
      <w:pPr>
        <w:keepLines/>
        <w:ind w:left="283" w:hanging="142"/>
      </w:pPr>
      <w:r>
        <w:t>— Каким банком открыто проектное финансирование (видно в проектной декларации).</w:t>
      </w:r>
    </w:p>
    <w:p>
      <w:pPr>
        <w:keepLines/>
        <w:ind w:left="283" w:hanging="142"/>
      </w:pPr>
      <w:r>
        <w:t>— Идут ли продажи: число зарегистрированных ДДУ по объекту и динамика за последние месяцы (ЕИСЖС; выписка ЕГРН по земельному участку — ДДУ регистрируются как обременения участка).</w:t>
      </w:r>
    </w:p>
    <w:p>
      <w:pPr>
        <w:keepLines/>
        <w:ind w:left="283" w:hanging="142"/>
      </w:pPr>
      <w:r>
        <w:t>— Сопоставьте признаки риска: замедление строительства, изменения сроков, динамику продаж и предложение метров вместо денег. Это основания для дополнительной проверки, а не доказательства прекращения финансирования.</w:t>
      </w:r>
    </w:p>
    <w:p>
      <w:pPr>
        <w:keepLines/>
      </w:pPr>
      <w:r>
        <w:t>Развилка: при признаках финансовых ограничений запросите подтверждение условий финансирования и обеспечения; оцените, не переносит ли предложенная схема риск недостатка денежных средств на подрядчика.</w:t>
      </w:r>
    </w:p>
    <w:p>
      <w:pPr>
        <w:keepLines/>
      </w:pPr>
      <w:r>
        <w:t>Дальше — шаги 5 и 6 только с юристом.</w:t>
      </w:r>
    </w:p>
    <w:p>
      <w:pPr>
        <w:pStyle w:val="Heading2"/>
        <w:keepLines/>
      </w:pPr>
      <w:r>
        <w:t>Шаг 5. Посчитать экономику метра</w:t>
      </w:r>
    </w:p>
    <w:p>
      <w:pPr>
        <w:keepLines/>
      </w:pPr>
      <w:r>
        <w:t>Скидка от прайса — не прибыль, пока метр не продан.</w:t>
      </w:r>
    </w:p>
    <w:p>
      <w:pPr>
        <w:keepLines/>
        <w:ind w:left="283" w:hanging="142"/>
      </w:pPr>
      <w:r>
        <w:t>— Реальная цена продажи такой квартиры сегодня: стакан предложений по дому и району, а не прайс застройщика.</w:t>
      </w:r>
    </w:p>
    <w:p>
      <w:pPr>
        <w:keepLines/>
        <w:ind w:left="283" w:hanging="142"/>
      </w:pPr>
      <w:r>
        <w:t>— Срок экспозиции и дисконт быстрой продажи.</w:t>
      </w:r>
    </w:p>
    <w:p>
      <w:pPr>
        <w:keepLines/>
        <w:ind w:left="283" w:hanging="142"/>
      </w:pPr>
      <w:r>
        <w:t>— Налоги при получении и реализации (режим налогообложения подрядчика — посчитайте со своим бухгалтером, в файл числа намеренно не записаны).</w:t>
      </w:r>
    </w:p>
    <w:p>
      <w:pPr>
        <w:keepLines/>
        <w:ind w:left="283" w:hanging="142"/>
      </w:pPr>
      <w:r>
        <w:t>— Стоимость денег на период «работы сданы → квартира продана». Результат шага: сопоставимая цифра — сколько денег и когда приносит метр против суммы работ. Заполняется в «Чек-листе: расчёт метрами вместо денег».</w:t>
      </w:r>
    </w:p>
    <w:p>
      <w:pPr>
        <w:pStyle w:val="Heading2"/>
        <w:keepLines/>
      </w:pPr>
      <w:r>
        <w:t>Шаг 6. Если входить — условия входа</w:t>
      </w:r>
    </w:p>
    <w:p>
      <w:pPr>
        <w:keepLines/>
      </w:pPr>
      <w:r>
        <w:t>Каждое условие снижает конкретный риск из шагов 2–4; формулировки — с юристом:</w:t>
      </w:r>
    </w:p>
    <w:p>
      <w:pPr>
        <w:keepLines/>
        <w:ind w:left="283" w:hanging="142"/>
      </w:pPr>
      <w:r>
        <w:t>— Денежная часть расчёта: {{ДОЛЯ_ДЕНЬГАМИ}} — метрами не более согласованной доли.</w:t>
      </w:r>
    </w:p>
    <w:p>
      <w:pPr>
        <w:keepLines/>
        <w:ind w:left="283" w:hanging="142"/>
      </w:pPr>
      <w:r>
        <w:t>— Передаваемое право проверено на оплату: поступление средств на эскроу подтверждено банком. Если цена ДДУ не оплачена, отдельно проверены условия уступки с одновременным переводом долга по ст. 11 Закона № 214-ФЗ и необходимое согласие кредитора (п. 2 ст. 391 ГК РФ). Зачёт между сторонами не подменяет оплату счёта эскроу.</w:t>
      </w:r>
    </w:p>
    <w:p>
      <w:pPr>
        <w:keepLines/>
        <w:ind w:left="283" w:hanging="142"/>
      </w:pPr>
      <w:r>
        <w:t>— Разделены три обязательства: цена ДДУ на эскроу, цена уступки цеденту и расчёты за работы. Если цедент — юридическое лицо, цена уступки уплачивается после государственной регистрации соглашения (ч. 3 ст. 11 Закона № 214-ФЗ). Для зачёта стоимости работ проверьте момент прекращения обязательства, встречные требования и применимость этого правила к конкретной конструкции до подписания.</w:t>
      </w:r>
    </w:p>
    <w:p>
      <w:pPr>
        <w:keepLines/>
        <w:ind w:left="283" w:hanging="142"/>
      </w:pPr>
      <w:r>
        <w:t>— Графики: передача прав по метрам привязана к закрытию объёмов работ, а не к вводу объекта.</w:t>
      </w:r>
    </w:p>
    <w:p>
      <w:pPr>
        <w:keepLines/>
        <w:ind w:left="283" w:hanging="142"/>
      </w:pPr>
      <w:r>
        <w:t>— Выход: что происходит с расчётом при срыве ввода, отзыве разрешения, остановке финансирования — записано в договоре. Результат: решение входить / не входить принято по заполненному «Чек-листу: расчёт метрами вместо денег», а не по скидке.</w:t>
      </w:r>
    </w:p>
    <w:p>
      <w:pPr>
        <w:pStyle w:val="Heading2"/>
        <w:keepLines/>
      </w:pPr>
      <w:r>
        <w:t>Важно, прочитайте до использования</w:t>
      </w:r>
    </w:p>
    <w:p>
      <w:pPr>
        <w:keepLines/>
      </w:pPr>
      <w:r>
        <w:t>Комплект помогает проверить предложение о расчёте квартирами и подготовить запросы сторонам сделки.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</w:r>
    </w:p>
    <w:p>
      <w:pPr>
        <w:keepLines/>
      </w:pPr>
      <w:r>
        <w:t>Перед подписанием сверяйте применимую редакцию Закона № 214-ФЗ, условия ДДУ, уступки и документы банка на дату сделки.</w:t>
      </w:r>
    </w:p>
    <w:sectPr w:rsidR="00FC693F" w:rsidRPr="0006063C" w:rsidSect="00034616"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DejaVu Sans" w:hAnsi="DejaVu Sans"/>
      <w:i w:val="0"/>
      <w:color w:val="2C33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i w:val="0"/>
      <w:color w:val="7D68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i w:val="0"/>
      <w:color w:val="282F37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 w:val="0"/>
      <w:iCs/>
      <w:color w:val="615B52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83"/>
      <w:contextualSpacing/>
    </w:pPr>
    <w:rPr>
      <w:rFonts w:ascii="DejaVu Sans" w:hAnsi="DejaVu Sans"/>
      <w:i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