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навязывают оплату или исправление чужой вины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Пошаговый разбор претензии генподрядчика: от получения до мотивированного ответа и экспертизы.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зеркало алгоритма действий при задержке оплаты: там субподрядчик требует своё, здесь — отбивается от чужого. Общий принцип тот же: защита строится до претензии; документ, не созданный на площадке, в ответе уже не появится. Профилактическая часть — соглашение о разграничении ответственности и чек-лист профилактики из этого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часа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Получив претензию, ничего не признавать и ничего не игнорировать. Молчание суд читает как уклонение от урегулирования; голое «мы не виноваты» без документов — тоже. Единственный правильный первый шаг — зафиксировать дату получения и разобрать претензию по шагам ниже.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Шаги алгоритма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Разобрать претензию на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требованию отдельно ответить на четыре вопроса: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Наша ли зона? Сверить с договором, актом передачи фронта работ, соглашением о разграничении ответственности (файл этого комплекта). Не наша — в отказ, со ссылкой на документ границы.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Доказано ли? Чем подтверждён сам факт: двусторонний акт, односторонний акт с надлежащим вызовом, экспертиза — или голое утверждение?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753 ГК РФ; при уклонении от приёмки — односторонний акт по правилам файла «Алгоритм действий при задержке оплаты», раздел Б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Мотивированный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Реквизиты претензии и договора; дата получения.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Ссылка на несуществующий документ хуже признания.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Экспертиза — когда слова кончились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Если удержали из оплаты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Письменное несогласие с удержанием — сразу, до всяких переговоров.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Дальше — по файлу «Алгоритм действий при задержке оплаты»: претензия, иск, обеспечительные меры.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Отдельно про риск до приёмки (сценарий С5)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«мы не виноваты» без документов.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 (ст. 724, 756 ГК РФ), исковая давность — установлены законом и договором; проверяйте их в действующей редакции или у юриста. В файл они не записаны намеренно: значения меняются, а скачанный файл не обновляется.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