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Как заполнять: словарь полей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595959"/>
          <w:sz w:val="24"/>
          <w:szCs w:val="24"/>
        </w:rPr>
        <w:t xml:space="preserve">Подстановки двух форм ступени: ответа на требование о возврате аванса и запроса документов.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Важно, прочитайте до использования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Документы первых дней после требования вернуть аванс помогают зафиксировать позицию, соблюсти сроки и запросить документы, подтверждающие расчёт заявленной суммы.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Они рассчитаны на одну ситуацию: договор прекращён или прекращается, требование о возврате аванса получено, а вашего расчёта отработанной части ещё нет. Как только расчёт готов, эти документы своё отработали и дальше работает ответ по существу.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Про проверки — одной меркой на всё, что здесь лежит. Юрист читал те редакции файлов, которые существовали на момент вычитки; всё, что правилось после неё, он не читал. Нормативную сверку эти тексты проходили, найденное по ней исправлено — и правки, сделанные после последней сверки, ею не покрыты. Это относится и к файлам, написанным для ступени, и к взятому в неё форме ответа на требование: он проверялся в составе старшего комплекта и правился после проверок так же, как остальные.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Дат и имён проверок здесь нет намеренно: файл, который вы скачали, не обновляется, а проверки продолжаются, и любая точная дата в тексте рано или поздно станет неправдой. Кто и когда проверял, что нашёл и что было исправлено, ведётся в документах выпуска. В поставку они не входят: вы получаете рабочие файлы, а не историю их проверок. Нужна история — запросите у продавца.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Граница проходит по стадии, а не по теме. Пока идёт переписка — этими файлами пользоваться можно и нужно. Как только подан иск, заявлено встречное требование в суде, предъявлено требование по банковской гарантии либо в картотеке арбитражных дел появилось дело о банкротстве второй стороны — останавливайтесь и идите к юристу: дальше решает оценка доказательств, а не переписка. Налоговые последствия аванса и его возврата — вопрос к бухгалтеру, здесь их нет.</w:t>
            </w:r>
          </w:p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Ставок, сроков и размеров платежей числом в этих файлах нет намеренно: они меняются, а скачанный файл не обновляется. Срок ответа вы берёте из своего договора, сроки исковой давности — вопрос к юристу на дату обращения.</w:t>
            </w:r>
          </w:p>
        </w:tc>
      </w:tr>
    </w:tbl>
    <w:p>
      <w:pPr>
        <w:spacing w:after="120" w:line="276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Формат поля — двойные фигурные скобки и имя заглавными буквами: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{{ИМЯ_ПОЛЯ}}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Одно поле означает одно и то же в обоих письмах: значение, подставленное в запрос документов, без изменений переносится в ответ на требование. Имена полей те же, что в комплекте «Аванс», — если вы его докупите, заполнять словарь заново не придётся.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Главное правило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Перед отправкой найдите поиском символы «{{». Если они нашлись — документ не готов. Незаполненное поле в отправленном письме показывает второй стороне, что вы отправили форма не читая, и обесценивает всё, что в нём написано. Пояснения в квадратных скобках и неиспользованные развилки удаляются вместе со скобками.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Стороны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595959"/>
          <w:sz w:val="24"/>
          <w:szCs w:val="24"/>
        </w:rPr>
        <w:t xml:space="preserve">Этот блок общий для всех комплектов платформы. В договоре субподряда роли обычно называются «Генподрядчик» и «Субподрядчик»; проверьте, как они определены в вашем договоре, и используйте термины договора, не смешивая их. Две строки блока — контакты и банковские реквизиты — в самих письмах подстановками не встречаются: они нужны бланку письма и описи вложения.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200"/>
        <w:gridCol w:w="3060"/>
      </w:tblGrid>
      <w:tr>
        <w:trPr>
          <w:tblHeader/>
        </w:trPr>
        <w:tc>
          <w:tcPr>
            <w:tcW w:type="dxa" w:w="31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Поле</w:t>
            </w:r>
          </w:p>
        </w:tc>
        <w:tc>
          <w:tcPr>
            <w:tcW w:type="dxa" w:w="32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подставить</w:t>
            </w:r>
          </w:p>
        </w:tc>
        <w:tc>
          <w:tcPr>
            <w:tcW w:type="dxa" w:w="30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Откуда брать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{{НАИМЕНОВАНИЕ_ПОДРЯДЧИКА}}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Полное наименование вашей организации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учредительные документы, выписка ЕГРЮЛ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{{ИНН_ПОДРЯДЧИКА}}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{{ОГРН_ПОДРЯДЧИКА}}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ИНН и ОГРН вашей организации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выписка ЕГРЮЛ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{{АДРЕС_ПОДРЯДЧИКА}}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Юридический адрес вашей организации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выписка ЕГРЮЛ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{{КОНТАКТЫ_ПОДРЯДЧИКА}}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Телефон и адрес электронной почты для суда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ваши рабочие контакты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{{БАНКОВСКИЕ_РЕКВИЗИТЫ_ПОДРЯДЧИКА}}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Расчётный счёт, банк, БИК, корсчёт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справка банка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{{НАИМЕНОВАНИЕ_ЗАКАЗЧИКА}}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Полное наименование должника — стороны договора, обязанной платить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договор и актуальная выписка ЕГРЮЛ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{{ИНН_ЗАКАЗЧИКА}}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{{ОГРН_ЗАКАЗЧИКА}}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ИНН и ОГРН должника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выписка ЕГРЮЛ; для иска они обязательны (ст. 125 АПК РФ)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{{АДРЕС_ЗАКАЗЧИКА}}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Юридический адрес должника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свежая выписка ЕГРЮЛ, а не шапка договора: адрес мог смениться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{{ДОЛЖНОСТЬ_ПОДПИСАНТА}}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{{ФИО_ПОДПИСАНТА}}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Кто подписывает от вашей организации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устав, доверенность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{{ОСНОВАНИЕ_ПОЛНОМОЧИЙ}}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«действующего на основании Устава» либо реквизиты доверенности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устав, доверенность</w:t>
            </w:r>
          </w:p>
        </w:tc>
      </w:tr>
    </w:tbl>
    <w:p>
      <w:r>
        <w:br w:type="page"/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Договор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200"/>
        <w:gridCol w:w="3060"/>
      </w:tblGrid>
      <w:tr>
        <w:trPr>
          <w:tblHeader/>
        </w:trPr>
        <w:tc>
          <w:tcPr>
            <w:tcW w:type="dxa" w:w="31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Поле</w:t>
            </w:r>
          </w:p>
        </w:tc>
        <w:tc>
          <w:tcPr>
            <w:tcW w:type="dxa" w:w="32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подставить</w:t>
            </w:r>
          </w:p>
        </w:tc>
        <w:tc>
          <w:tcPr>
            <w:tcW w:type="dxa" w:w="30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Откуда брать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{{НОМЕР_ДОГОВОРА}}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{{ДАТА_ДОГОВОРА}}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Реквизиты договора субподряда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титульный лист договора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{{ПУНКТ_ДОГОВОРА_О_ПОРЯДКЕ_ПЕРЕПИСКИ}}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Пункт о порядке обмена юридически значимыми сообщениями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раздел о претензионном порядке или о переписке. Пункта нет — напишите об этом прямо и отправляйте способом, дающим подтверждение вручения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{{ПУНКТ_ДОГОВОРА_О_ГАРАНТИЙНОМ_УДЕРЖАНИИ}}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Пункт, на основании которого удерживается гарантийное удержание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раздел о порядке расчётов. Используется только в ответе на требование и только если удержание производилось</w:t>
            </w:r>
          </w:p>
        </w:tc>
      </w:tr>
    </w:tbl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Требование и прекращение договора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200"/>
        <w:gridCol w:w="3060"/>
      </w:tblGrid>
      <w:tr>
        <w:trPr>
          <w:tblHeader/>
        </w:trPr>
        <w:tc>
          <w:tcPr>
            <w:tcW w:type="dxa" w:w="31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Поле</w:t>
            </w:r>
          </w:p>
        </w:tc>
        <w:tc>
          <w:tcPr>
            <w:tcW w:type="dxa" w:w="32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подставить</w:t>
            </w:r>
          </w:p>
        </w:tc>
        <w:tc>
          <w:tcPr>
            <w:tcW w:type="dxa" w:w="30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Откуда брать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{{НОМЕР_ТРЕБОВАНИЯ}}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{{ДАТА_ТРЕБОВАНИЯ}}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Исходящие реквизиты требования о возврате аванса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шапка самого требования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{{ДАТА_ПОЛУЧЕНИЯ_ТРЕБОВАНИЯ}}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Дата, когда требование фактически получено вами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конверт со штемпелем, отчёт об отслеживании, входящий штамп. Сохраните подтверждение до того, как ответите: на эту дату вы будете ссылаться во всей дальнейшей переписке. Дату направления выпишите отдельно — почему, сказано в файле «Порядок первых дней», шаг 2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{{СУММА_ТРЕБОВАНИЯ}}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Сумма, которую требуют вернуть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текст требования. Переносите дословно, даже если считаете её неверной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{{ДАТА_ПРЕКРАЩЕНИЯ_ДОГОВОРА}}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Дата, с которой договор считается прекращённым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уведомление об отказе от исполнения, соглашение сторон, решение суда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{{ДАТА_НАЧАЛА_РАБОТ}}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Дата фактического начала работ на объекте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акт передачи площадки, общий журнал работ</w:t>
            </w:r>
          </w:p>
        </w:tc>
      </w:tr>
    </w:tbl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Акты и передача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200"/>
        <w:gridCol w:w="3060"/>
      </w:tblGrid>
      <w:tr>
        <w:trPr>
          <w:tblHeader/>
        </w:trPr>
        <w:tc>
          <w:tcPr>
            <w:tcW w:type="dxa" w:w="31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Поле</w:t>
            </w:r>
          </w:p>
        </w:tc>
        <w:tc>
          <w:tcPr>
            <w:tcW w:type="dxa" w:w="32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подставить</w:t>
            </w:r>
          </w:p>
        </w:tc>
        <w:tc>
          <w:tcPr>
            <w:tcW w:type="dxa" w:w="30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Откуда брать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{{РЕКВИЗИТЫ_НЕПОДПИСАННЫХ_АКТОВ}}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Номера и даты актов, переданных и не подписанных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ваш журнал исходящих и сопроводительные письма, которыми акты передавались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{{ДАТА_ПЕРЕДАЧИ_АКТОВ}}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Дата передачи актов второй стороне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сопроводительное письмо, опись вложения, входящий штамп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{{ПОДТВЕРЖДЕНИЕ_ПЕРЕДАЧИ_АКТОВ}}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Чем подтверждена передача: опись вложения и трек-номер, входящий штамп, отчёт об отслеживании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ваши документы об отправке. Без этого поля пункт письма не работает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{{ПЕРЕДАНЫ_ВАМ_ИЛИ_ОСТАВЛЕНЫ_НА_ОБЪЕКТЕ}}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Выберите одно: «переданы вам» либо «оставлены на объекте»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накладные, акты передачи, акт возврата площадки</w:t>
            </w:r>
          </w:p>
        </w:tc>
      </w:tr>
    </w:tbl>
    <w:p>
      <w:r>
        <w:br w:type="page"/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Сроки, которые вы называете сами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595959"/>
          <w:sz w:val="24"/>
          <w:szCs w:val="24"/>
        </w:rPr>
        <w:t xml:space="preserve">Ни один из них не задан числом. Срок из договора переносится дословно; срок, который назначаете вы, должен быть таким, который вы выдержите: нарушенное в письме обещание работает против вас сильнее, чем отсутствие обещания.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200"/>
        <w:gridCol w:w="3060"/>
      </w:tblGrid>
      <w:tr>
        <w:trPr>
          <w:tblHeader/>
        </w:trPr>
        <w:tc>
          <w:tcPr>
            <w:tcW w:type="dxa" w:w="31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Поле</w:t>
            </w:r>
          </w:p>
        </w:tc>
        <w:tc>
          <w:tcPr>
            <w:tcW w:type="dxa" w:w="32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подставить</w:t>
            </w:r>
          </w:p>
        </w:tc>
        <w:tc>
          <w:tcPr>
            <w:tcW w:type="dxa" w:w="30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Откуда брать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{{СРОК_ПОДГОТОВКИ_РАСЧЁТА}}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 какой дате вы обещаете дать ответ по существу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ваше решение. Это главное поле обоих писем ступени: им вы выигрываете время, не признавая ничего. Ставьте с запасом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{{СРОК_ОТВЕТА_НА_НАШЕ_ПИСЬМО}}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Срок, который вы даёте второй стороне на ответ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договор, если срок ответа на обращения в нём установлен; иначе разумный рабочий срок, который вы назначаете сами</w:t>
            </w:r>
          </w:p>
        </w:tc>
      </w:tr>
    </w:tbl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Делопроизводство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200"/>
        <w:gridCol w:w="3060"/>
      </w:tblGrid>
      <w:tr>
        <w:trPr>
          <w:tblHeader/>
        </w:trPr>
        <w:tc>
          <w:tcPr>
            <w:tcW w:type="dxa" w:w="31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Поле</w:t>
            </w:r>
          </w:p>
        </w:tc>
        <w:tc>
          <w:tcPr>
            <w:tcW w:type="dxa" w:w="32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подставить</w:t>
            </w:r>
          </w:p>
        </w:tc>
        <w:tc>
          <w:tcPr>
            <w:tcW w:type="dxa" w:w="30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Откуда брать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{{ИСХОДЯЩИЙ_НОМЕР}}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{{ДАТА_ДОКУМЕНТА}}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Исходящий номер и дата по вашему журналу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делопроизводство организации. У каждого из двух писем свой номер, даже если они уходят в одном конверте</w:t>
            </w:r>
          </w:p>
        </w:tc>
      </w:tr>
    </w:tbl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Поля, которые в этой ступени заполнить нечем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Все они берутся с листа «Сальдо» файла «Расчёт отработанной части аванса и сальдо расчётов». Расчёта в ступени нет — он ядро старшего комплекта, и это её граница, названная в файле «Порядок первых дней».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Практически это значит одно: в ответе на требование вы заполняете развилку Г — промежуточный ответ — и удаляете развилки А, Б и В вместе с пунктами 1 и 2 письма, где стоят эти поля. Развилка Г ни одного из них не требует: она для того и написана.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 то же самое — с блоком «Приложения» в конце письма. Первые два его пункта, расчёт отработанной части аванса и проект акта сверки, квадратными скобками не помечены, но к развилке Г не относятся: этих документов у вас сейчас нет. Вычеркните оба и оставьте в описи только то, что действительно кладёте в конверт. Затем перенумеруйте пункты письма и приложений подряд с единицы — письмо, начинающееся с пункта 3, выглядит куском чужого документа.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595959"/>
          <w:sz w:val="24"/>
          <w:szCs w:val="24"/>
        </w:rPr>
        <w:t xml:space="preserve">Почему эти два пункта вообще стоят в письме без скобок: оно написано для старшего комплекта, где расчёт есть всегда и прикладывается всегда. В ступени письмо лежит целиком и без правки намеренно — так оно остаётся одним файлом с комплектом, а не второй расходящейся копией. Цена этого решения — вот эти два вычёркивания, и они названы здесь, а не оставлены на догадку.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подставляйте сюда числа, посчитанные в уме или взятые из бухгалтерской справки. Названная однажды цифра остаётся в переписке навсегда, и объяснять её изменение придётся вам.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200"/>
        <w:gridCol w:w="3060"/>
      </w:tblGrid>
      <w:tr>
        <w:trPr>
          <w:tblHeader/>
        </w:trPr>
        <w:tc>
          <w:tcPr>
            <w:tcW w:type="dxa" w:w="31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Поле</w:t>
            </w:r>
          </w:p>
        </w:tc>
        <w:tc>
          <w:tcPr>
            <w:tcW w:type="dxa" w:w="32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это</w:t>
            </w:r>
          </w:p>
        </w:tc>
        <w:tc>
          <w:tcPr>
            <w:tcW w:type="dxa" w:w="30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Где считается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{{СУММА_АВАНСА_ПОЛУЧЕНО}}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Сколько аванса фактически получено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лист «Сальдо», строка «Аванс получен всего». По платёжным поручениям, а не по пункту договора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{{СТОИМОСТЬ_ПРИНЯТЫХ_РАБОТ}}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Стоимость работ по актам, подписанным обеими сторонами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лист «Сальдо», блок «Принято работ»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{{ЗАЧТЕНО_В_СЧЁТ_АВАНСА}}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Сколько аванса закрыто подписанными актами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лист «Сальдо», строка «в том числе зачтено в счёт аванса»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{{НЕОТРАБОТАННЫЙ_ОСТАТОК_АВАНСА}}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Неотработанная часть аванса по бесспорным документам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лист «Сальдо». Это отправная цифра ответа по существу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{{СТОИМОСТЬ_НЕПРИНЯТЫХ_РАБОТ}}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Стоимость работ по переданным и не подписанным актам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лист «Сальдо»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{{СТОИМОСТЬ_ВЫПОЛНЕННЫХ_РАБОТ_ВСЕГО}}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Принятое плюс переданное и не принятое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сумма двух строк листа «Сальдо». Только для развилки В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{{СТОИМОСТЬ_МАТЕРИАЛОВ}}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Стоимость материалов и оборудования, переданных или оставленных на объекте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лист «Сальдо», строка «Материалы и оборудование»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{{СУММА_ГАРАНТИЙНОГО_УДЕРЖАНИЯ}}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Гарантийное удержание, удержанное из оплаченных актов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лист «Сальдо»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{{ЗАДОЛЖЕННОСТЬ_ПО_ПРИНЯТЫМ_РАБОТАМ}}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 оплаченное по актам, подписанным обеими сторонами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лист «Сальдо»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{{САЛЬДО_РАСЧЁТОВ}}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Итог с учётом всего заявленного встречного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лист «Сальдо». Положительное — к возврату, отрицательное — в вашу пользу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{{ПРЕДЛАГАЕМЫЙ_ПОРЯДОК_ВОЗВРАТА}}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Порядок, который вы предлагаете: срок, частями или единовременно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ваше решение. Только для развилки А, где вы признаёте сумму осознанно. Про зачёт: как условие письма он не заявляется — оформляется отдельно и с юристом</w:t>
            </w:r>
          </w:p>
        </w:tc>
      </w:tr>
    </w:tbl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Почему в файлах ступени нет ни одной ставки и ни одного срока числом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Сроки в кодексах правятся, условия договоров у всех свои, а файл, который вы скачали, не обновляется сам. Форма с зашитым прошлогодним числом опаснее формы без него: он выглядит готовым и даёт неверную цифру, под которой вы распишетесь.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Поэтому на месте каждого срока и каждой суммы стоит подстановка. Срок ответа вы берёте из своего договора, сроки исковой давности — вопрос к юристу на дату обращения, суммы — из своих первичных документов.</w:t>
      </w:r>
    </w:p>
    <w:p>
      <w:pPr>
        <w:spacing w:after="120" w:line="276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595959"/>
          <w:sz w:val="24"/>
          <w:szCs w:val="24"/>
        </w:rPr>
        <w:t xml:space="preserve">Что этот файл о себе знает — сказано в рамке «Важно, прочитайте до использования» в начале. Историю проверок ведут документы выпуска, в поставку они не входят.</w:t>
      </w:r>
    </w:p>
    <w:sectPr>
      <w:pgSz w:w="11906" w:h="16838" w:orient="portrait"/>
      <w:pgMar w:top="1133" w:right="850" w:bottom="1133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2026-08-15T02:55:45.877Z</dcterms:created>
  <dcterms:modified xsi:type="dcterms:W3CDTF">2026-08-15T02:55:45.877Z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