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Проверка КС-2 и КС-3 перед сдачей</w:t>
      </w:r>
    </w:p>
    <w:p>
      <w:pPr>
        <w:pStyle w:val="Heading2"/>
      </w:pPr>
      <w:r>
        <w:t>1. Договор, объект и отчётный период</w:t>
      </w:r>
    </w:p>
    <w:p>
      <w:pPr>
        <w:spacing w:after="100"/>
      </w:pPr>
      <w:r>
        <w:rPr>
          <w:b w:val="0"/>
          <w:i w:val="0"/>
          <w:sz w:val="18"/>
        </w:rPr>
        <w:t>Объект: _____________________  Договор: _____________________</w:t>
      </w:r>
    </w:p>
    <w:p>
      <w:pPr>
        <w:spacing w:after="100"/>
      </w:pPr>
      <w:r>
        <w:rPr>
          <w:b w:val="0"/>
          <w:i w:val="0"/>
          <w:sz w:val="18"/>
        </w:rPr>
        <w:t>Период: _____________________  Проверил / дата: _____________________</w:t>
      </w:r>
    </w:p>
    <w:p>
      <w:pPr>
        <w:spacing w:after="100"/>
      </w:pPr>
      <w:r>
        <w:rPr>
          <w:b w:val="0"/>
          <w:i w:val="0"/>
          <w:sz w:val="18"/>
        </w:rPr>
        <w:t>Результат: «Да», «Замечание» или «Н/П» с основанием. Замечания перенесите в №04.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7257"/>
        <w:gridCol w:w="1928"/>
      </w:tblGrid>
      <w:tr>
        <w:trPr>
          <w:cantSplit/>
          <w:tblHeader/>
        </w:trPr>
        <w:tc>
          <w:tcPr>
            <w:tcW w:type="dxa" w:w="680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7257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Проверяемое условие</w:t>
            </w:r>
          </w:p>
        </w:tc>
        <w:tc>
          <w:tcPr>
            <w:tcW w:type="dxa" w:w="1928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Результат / № замечания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1.1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Номер и дата договора совпадают в КС-2, КС-3 и сопроводительных документах.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1.2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Стороны указаны по договору; застройщик, заказчик и генподрядчик не подменяют друг друга.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1.3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Объект и участок работ однозначно сопоставлены с договором и проектной документацией; расхождение названий объяснено.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1.4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Применяемые формы, состав приложений, канал передачи и порядок рассмотрения установлены договором или согласованы сторонами.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1.5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Период выполнения работ имеет действительные даты; начало не позже окончания, период согласован с КС-3.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1.6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Включённые работы действительно выполнены; основания объёмов — замеры, журнал КС-6а при его применении и иные принятые записи.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1.7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Срок выполнения сопоставлен с договором. При просрочке причина и позиция подрядчика оформлены, фактические даты не исправлены задним числом.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1.8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Смета, спецификации и изменения имеют номер, дату, согласованную редакцию и связь с предъявленными работами.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1.9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Изменённые объёмы и дополнительные работы выделены; основания согласования приложены, спорные суммы не смешаны с бесспорными.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1.10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Номера КС-2 уникальны в принятом учёте; пропуск или аннулирование объяснены, повторно предъявленные объёмы исключены.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Проверка КС-2 и КС-3</w:t>
      </w:r>
    </w:p>
    <w:p>
      <w:pPr>
        <w:pStyle w:val="Heading2"/>
      </w:pPr>
      <w:r>
        <w:t>2. КС-2: объём, стоимость и полномочия</w:t>
      </w:r>
    </w:p>
    <w:p>
      <w:pPr>
        <w:spacing w:after="100"/>
      </w:pPr>
      <w:r>
        <w:rPr>
          <w:b w:val="0"/>
          <w:i w:val="0"/>
          <w:sz w:val="18"/>
        </w:rPr>
        <w:t>Объект: _____________________  Договор: _____________________</w:t>
      </w:r>
    </w:p>
    <w:p>
      <w:pPr>
        <w:spacing w:after="100"/>
      </w:pPr>
      <w:r>
        <w:rPr>
          <w:b w:val="0"/>
          <w:i w:val="0"/>
          <w:sz w:val="18"/>
        </w:rPr>
        <w:t>Период: _____________________  Проверил / дата: _____________________</w:t>
      </w:r>
    </w:p>
    <w:p>
      <w:pPr>
        <w:spacing w:after="100"/>
      </w:pPr>
      <w:r>
        <w:rPr>
          <w:b w:val="0"/>
          <w:i w:val="0"/>
          <w:sz w:val="18"/>
        </w:rPr>
        <w:t>Результат: «Да», «Замечание» или «Н/П» с основанием. Замечания перенесите в №04.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7257"/>
        <w:gridCol w:w="1928"/>
      </w:tblGrid>
      <w:tr>
        <w:trPr>
          <w:cantSplit/>
          <w:tblHeader/>
        </w:trPr>
        <w:tc>
          <w:tcPr>
            <w:tcW w:type="dxa" w:w="680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7257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Проверяемое условие</w:t>
            </w:r>
          </w:p>
        </w:tc>
        <w:tc>
          <w:tcPr>
            <w:tcW w:type="dxa" w:w="1928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Результат / № замечания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2.1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Наименование и единица измерения каждой работы соответствуют согласованным документам и фактическому результату.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2.2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Количество подтверждено первичными замерами; перевод единиц измерения проверен, в том числе измерителей на 10/100 единиц.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2.3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Цена, расценка, коэффициенты и индексы применены по согласованному договорному порядку.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2.4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Стоимость строк и разделов пересчитана; учтён согласованный порядок округления, арифметические расхождения устранены.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2.5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Ранее принятые объёмы отделены от текущего периода; накопительный объём не превышает согласованный без объяснения и основания.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2.6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Материалы заказчика и подрядчика разграничены; исключено повторное включение их стоимости вопреки условиям договора.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2.7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Расшифровки ресурсов приложены, когда они требуются договором; их не обозначают как форму КС-4.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2.8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Приложения связаны с позициями и участками КС-2; АОСР не обозначаются как КС-11.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2.9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Подписи принадлежат уполномоченным представителям сторон; основание полномочий проверено. Внутренние визы учитываются отдельно.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2.10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Дата составления, должности, расшифровки подписей, исправления и печать при её необходимости оформлены по применимым требованиям.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</w:tbl>
    <w:p>
      <w:pPr>
        <w:spacing w:after="60"/>
      </w:pPr>
      <w:r>
        <w:rPr>
          <w:b w:val="0"/>
          <w:i w:val="0"/>
          <w:sz w:val="16"/>
        </w:rPr>
        <w:t xml:space="preserve">Основание: </w:t>
      </w:r>
      <w:hyperlink r:id="rId11">
        <w:r>
          <w:rPr>
            <w:sz w:val="16"/>
            <w:color w:val="292C30"/>
          </w:rPr>
          <w:t>КС-2: указания к форме, постановление Госкомстата № 100 от 11.11.1999</w:t>
        </w:r>
      </w:hyperlink>
    </w:p>
    <w:p>
      <w:r>
        <w:br w:type="page"/>
      </w:r>
    </w:p>
    <w:p>
      <w:pPr>
        <w:pStyle w:val="Heading1"/>
      </w:pPr>
      <w:r>
        <w:t>Проверка КС-2 и КС-3</w:t>
      </w:r>
    </w:p>
    <w:p>
      <w:pPr>
        <w:pStyle w:val="Heading2"/>
      </w:pPr>
      <w:r>
        <w:t>3. КС-3: период, накопительные суммы и НДС</w:t>
      </w:r>
    </w:p>
    <w:p>
      <w:pPr>
        <w:spacing w:after="100"/>
      </w:pPr>
      <w:r>
        <w:rPr>
          <w:b w:val="0"/>
          <w:i w:val="0"/>
          <w:sz w:val="18"/>
        </w:rPr>
        <w:t>Объект: _____________________  Договор: _____________________</w:t>
      </w:r>
    </w:p>
    <w:p>
      <w:pPr>
        <w:spacing w:after="100"/>
      </w:pPr>
      <w:r>
        <w:rPr>
          <w:b w:val="0"/>
          <w:i w:val="0"/>
          <w:sz w:val="18"/>
        </w:rPr>
        <w:t>Период: _____________________  Проверил / дата: _____________________</w:t>
      </w:r>
    </w:p>
    <w:p>
      <w:pPr>
        <w:spacing w:after="100"/>
      </w:pPr>
      <w:r>
        <w:rPr>
          <w:b w:val="0"/>
          <w:i w:val="0"/>
          <w:sz w:val="18"/>
        </w:rPr>
        <w:t>Результат: «Да», «Замечание» или «Н/П» с основанием. Замечания перенесите в №04.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7257"/>
        <w:gridCol w:w="1928"/>
      </w:tblGrid>
      <w:tr>
        <w:trPr>
          <w:cantSplit/>
          <w:tblHeader/>
        </w:trPr>
        <w:tc>
          <w:tcPr>
            <w:tcW w:type="dxa" w:w="680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7257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Проверяемое условие</w:t>
            </w:r>
          </w:p>
        </w:tc>
        <w:tc>
          <w:tcPr>
            <w:tcW w:type="dxa" w:w="1928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Результат / № замечания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3.1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КС-3 сформирована на основании относящихся к ней КС-2 и иных документально обоснованных работ и затрат.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3.2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В сверке перечислены все относящиеся КС-2; один акт не сопоставляется с общей суммой нескольких актов без расшифровки.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3.3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Показатель за отчётный период сверяется с работами и затратами именно этого периода.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3.4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Показатель с начала выполнения работ сверяется с предыдущим накопительным итогом и текущим периодом.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3.5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Показатель с начала года проверяется отдельно; при переходе года он не подменяет итог с начала работ.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3.6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Дополнительные затраты включены по договорному основанию и подтверждающим документам, а не как необъяснённая разница.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3.7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Итог без НДС, НДС и итог с НДС сверены раздельно; суммы с налогом не сравниваются с суммами без налога.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3.8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Ставка и режим НДС применены к соответствующим операциям; при разных ставках сохранена расшифровка, универсальная ставка не подставлена.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3.9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Округление строк и итогов сопоставлено с согласованным порядком. Остаточная разница объяснена, а не скрыта ручной подгонкой.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3.10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Стоимость работ по КС-3 отделена от остатка к оплате: аванс, удержания и предыдущие платежи учтены в отдельной сверке расчётов.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</w:tbl>
    <w:p>
      <w:pPr>
        <w:spacing w:after="60"/>
      </w:pPr>
      <w:r>
        <w:rPr>
          <w:b w:val="0"/>
          <w:i w:val="0"/>
          <w:sz w:val="16"/>
        </w:rPr>
        <w:t xml:space="preserve">Основание: </w:t>
      </w:r>
      <w:hyperlink r:id="rId12">
        <w:r>
          <w:rPr>
            <w:sz w:val="16"/>
            <w:color w:val="292C30"/>
          </w:rPr>
          <w:t>КС-3: указания к форме, постановление Госкомстата № 100 от 11.11.1999</w:t>
        </w:r>
      </w:hyperlink>
    </w:p>
    <w:p>
      <w:r>
        <w:br w:type="page"/>
      </w:r>
    </w:p>
    <w:p>
      <w:pPr>
        <w:pStyle w:val="Heading1"/>
      </w:pPr>
      <w:r>
        <w:t>Проверка КС-2 и КС-3</w:t>
      </w:r>
    </w:p>
    <w:p>
      <w:pPr>
        <w:pStyle w:val="Heading2"/>
      </w:pPr>
      <w:r>
        <w:t>4. Приложения, замечания и передача</w:t>
      </w:r>
    </w:p>
    <w:p>
      <w:pPr>
        <w:spacing w:after="100"/>
      </w:pPr>
      <w:r>
        <w:rPr>
          <w:b w:val="0"/>
          <w:i w:val="0"/>
          <w:sz w:val="18"/>
        </w:rPr>
        <w:t>Объект: _____________________  Договор: _____________________</w:t>
      </w:r>
    </w:p>
    <w:p>
      <w:pPr>
        <w:spacing w:after="100"/>
      </w:pPr>
      <w:r>
        <w:rPr>
          <w:b w:val="0"/>
          <w:i w:val="0"/>
          <w:sz w:val="18"/>
        </w:rPr>
        <w:t>Период: _____________________  Проверил / дата: _____________________</w:t>
      </w:r>
    </w:p>
    <w:p>
      <w:pPr>
        <w:spacing w:after="100"/>
      </w:pPr>
      <w:r>
        <w:rPr>
          <w:b w:val="0"/>
          <w:i w:val="0"/>
          <w:sz w:val="18"/>
        </w:rPr>
        <w:t>Результат: «Да», «Замечание» или «Н/П» с основанием. Замечания перенесите в №04.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7257"/>
        <w:gridCol w:w="1928"/>
      </w:tblGrid>
      <w:tr>
        <w:trPr>
          <w:cantSplit/>
          <w:tblHeader/>
        </w:trPr>
        <w:tc>
          <w:tcPr>
            <w:tcW w:type="dxa" w:w="680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7257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Проверяемое условие</w:t>
            </w:r>
          </w:p>
        </w:tc>
        <w:tc>
          <w:tcPr>
            <w:tcW w:type="dxa" w:w="1928"/>
            <w:vAlign w:val="center"/>
            <w:shd w:fill="292C3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Результат / № замечания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4.1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Перечень обязательных приложений утверждён/согласован для объекта и договора; он перенесён в реестр №02.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4.2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Для каждого требуемого приложения заполнены вид, номер, действительная дата, листы, статус проверки; пустые поля не дают «ГОТОВО».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4.3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АОСР оформлены на применимые скрытые работы по проекту и установленному перечню; не на каждую строку КС-2 автоматически.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4.4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В АОСР указаны место, работы, проектные основания, материалы, подтверждающие документы, даты и разрешённые последующие работы.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4.5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Участники и подписи АОСР определены по применимости; проектировщик — при его привлечении в предусмотренном порядке.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4.6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Исполнительные схемы содержат проверяемые привязки, отметки, фактические параметры и связь с действующей проектной/рабочей документацией.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4.7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Документы на материалы связаны с маркой и партией; проверены их область действия, реквизиты и применимые условия действительности.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4.8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Все замечания внесены в №04: указаны ответственный, срок, результат повторной проверки и решение по комплекту.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4.9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Состав передачи и доказательство вручения записаны в №06; отмечены получатель, дата и реквизиты подтверждения.</w:t>
            </w:r>
          </w:p>
        </w:tc>
        <w:tc>
          <w:tcPr>
            <w:tcW w:type="dxa" w:w="192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4.10</w:t>
            </w:r>
          </w:p>
        </w:tc>
        <w:tc>
          <w:tcPr>
            <w:tcW w:type="dxa" w:w="7257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  <w:t>Возвраты и ответы заказчика отражены в №06 и письме №05; после исправления зафиксирована новая передача и сохранены рабочие доказательства.</w:t>
            </w:r>
          </w:p>
        </w:tc>
        <w:tc>
          <w:tcPr>
            <w:tcW w:type="dxa" w:w="1928"/>
            <w:vAlign w:val="center"/>
            <w:shd w:fill="F6F4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before="40" w:line="245" w:lineRule="auto"/>
            </w:pPr>
            <w:r>
              <w:rPr>
                <w:rFonts w:ascii="Arial" w:hAnsi="Arial"/>
                <w:b w:val="0"/>
                <w:i w:val="0"/>
                <w:color w:val="292C30"/>
                <w:sz w:val="18"/>
              </w:rPr>
            </w:r>
          </w:p>
        </w:tc>
      </w:tr>
    </w:tbl>
    <w:p>
      <w:pPr>
        <w:spacing w:after="60"/>
      </w:pPr>
      <w:r>
        <w:rPr>
          <w:b w:val="0"/>
          <w:i w:val="0"/>
          <w:sz w:val="16"/>
        </w:rPr>
        <w:t xml:space="preserve">Основание: </w:t>
      </w:r>
      <w:hyperlink r:id="rId13">
        <w:r>
          <w:rPr>
            <w:sz w:val="16"/>
            <w:color w:val="292C30"/>
          </w:rPr>
          <w:t>Приказ Минстроя № 344/пр от 16.05.2023, ред. 23.06.2025; приложения № 1 и № 2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sz w:val="16"/>
      </w:rPr>
      <w:t xml:space="preserve">КС-2 / КС-3 • Проверочный лист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9" w:color="AC9568" w:space="4"/>
      </w:pBdr>
    </w:pPr>
    <w:r>
      <w:rPr>
        <w:b/>
        <w:i w:val="0"/>
        <w:sz w:val="16"/>
      </w:rPr>
      <w:t>МАРЖА В БЕТОНЕ  /  P3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i w:val="0"/>
      <w:color w:val="292C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92C3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i w:val="0"/>
      <w:color w:val="292C3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92C3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i w:val="0"/>
      <w:color w:val="292C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92C3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92C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292C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 w:val="0"/>
      <w:color w:val="292C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i w:val="0"/>
      <w:color w:val="292C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i w:val="0"/>
      <w:color w:val="292C3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 w:val="0"/>
      <w:iCs w:val="0"/>
      <w:color w:val="292C3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i w:val="0"/>
      <w:color w:val="292C3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i w:val="0"/>
      <w:color w:val="292C3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i w:val="0"/>
      <w:color w:val="292C3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i w:val="0"/>
      <w:color w:val="292C3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 w:val="0"/>
      <w:color w:val="292C3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i w:val="0"/>
      <w:color w:val="292C3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i w:val="0"/>
      <w:color w:val="292C3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i w:val="0"/>
      <w:color w:val="292C3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i w:val="0"/>
      <w:color w:val="292C3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i w:val="0"/>
      <w:color w:val="292C3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i w:val="0"/>
      <w:color w:val="292C3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i w:val="0"/>
      <w:color w:val="292C3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i w:val="0"/>
      <w:color w:val="292C3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i w:val="0"/>
      <w:color w:val="292C3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i w:val="0"/>
      <w:color w:val="292C3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i w:val="0"/>
      <w:color w:val="292C3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i w:val="0"/>
      <w:color w:val="292C3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i w:val="0"/>
      <w:color w:val="292C3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i w:val="0"/>
      <w:color w:val="292C3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i w:val="0"/>
      <w:color w:val="292C3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i w:val="0"/>
      <w:color w:val="292C3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i w:val="0"/>
      <w:color w:val="292C3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i w:val="0"/>
      <w:color w:val="292C3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i w:val="0"/>
      <w:color w:val="292C3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i w:val="0"/>
      <w:color w:val="292C3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i w:val="0"/>
      <w:color w:val="292C3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 w:val="0"/>
      <w:iCs w:val="0"/>
      <w:color w:val="292C3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 w:val="0"/>
      <w:iCs w:val="0"/>
      <w:color w:val="292C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 w:val="0"/>
      <w:iCs w:val="0"/>
      <w:color w:val="292C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92C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92C3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 w:val="0"/>
      <w:color w:val="292C3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i w:val="0"/>
      <w:color w:val="292C3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 w:val="0"/>
      <w:iCs w:val="0"/>
      <w:color w:val="292C3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 w:val="0"/>
      <w:iCs w:val="0"/>
      <w:color w:val="292C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 w:val="0"/>
      <w:iCs w:val="0"/>
      <w:color w:val="292C3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 w:val="0"/>
      <w:iCs w:val="0"/>
      <w:color w:val="292C3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 w:val="0"/>
      <w:iCs w:val="0"/>
      <w:color w:val="292C3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i w:val="0"/>
      <w:smallCaps/>
      <w:color w:val="292C3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i w:val="0"/>
      <w:smallCaps/>
      <w:color w:val="292C3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i w:val="0"/>
      <w:smallCaps/>
      <w:color w:val="292C3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i w:val="0"/>
      <w:color w:val="292C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onsultant.ru/document/cons_doc_LAW_26303/d7e7d105e01770fac8296c4832201fd3f313d0b5/" TargetMode="External"/><Relationship Id="rId12" Type="http://schemas.openxmlformats.org/officeDocument/2006/relationships/hyperlink" Target="https://www.consultant.ru/document/cons_doc_LAW_26303/79431a20166e6ba765b35c449582152efac580a8/" TargetMode="External"/><Relationship Id="rId13" Type="http://schemas.openxmlformats.org/officeDocument/2006/relationships/hyperlink" Target="https://legalacts.ru/doc/prikaz-minstroja-rossii-ot-16052023-n-344pr-ob-utverzhdeni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КС-2 и КС-3 перед сдачей</dc:title>
  <dc:subject>P3 — проверка комплекта перед сдачей</dc:subject>
  <dc:creator>Маржа в бетоне</dc:creator>
  <cp:keywords/>
  <dc:description>generated by python-docx</dc:description>
  <cp:lastModifiedBy/>
  <cp:revision>1</cp:revision>
  <dcterms:created xsi:type="dcterms:W3CDTF">2026-10-14T00:00:00Z</dcterms:created>
  <dcterms:modified xsi:type="dcterms:W3CDTF">2026-10-14T00:00:00Z</dcterms:modified>
  <cp:category/>
</cp:coreProperties>
</file>