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80" w:before="1600"/>
      </w:pPr>
      <w:r>
        <w:rPr>
          <w:rFonts w:ascii="DejaVu Sans" w:hAnsi="DejaVu Sans"/>
          <w:b w:val="0"/>
          <w:color w:val="252A2E"/>
          <w:sz w:val="20"/>
        </w:rPr>
        <w:t>НА СТОРОНЕ ПОДРЯДЧИКА</w:t>
      </w:r>
    </w:p>
    <w:p>
      <w:pPr>
        <w:keepNext/>
        <w:spacing w:after="480"/>
      </w:pPr>
      <w:r>
        <w:rPr>
          <w:rFonts w:ascii="DejaVu Sans" w:hAnsi="DejaVu Sans"/>
          <w:b/>
          <w:color w:val="252A2E"/>
          <w:sz w:val="60"/>
        </w:rPr>
        <w:t>Система получения оплаты за выполненные работы</w:t>
      </w:r>
    </w:p>
    <w:p>
      <w:pPr>
        <w:keepNext/>
        <w:spacing w:after="480"/>
      </w:pPr>
      <w:r>
        <w:rPr>
          <w:rFonts w:ascii="DejaVu Sans" w:hAnsi="DejaVu Sans"/>
          <w:b w:val="0"/>
          <w:color w:val="252A2E"/>
          <w:sz w:val="28"/>
        </w:rPr>
        <w:t>Инструкция по работе с комплектом</w:t>
      </w:r>
    </w:p>
    <w:p>
      <w:pPr>
        <w:keepNext/>
        <w:spacing w:after="480"/>
      </w:pPr>
      <w:r>
        <w:rPr>
          <w:rFonts w:ascii="DejaVu Sans" w:hAnsi="DejaVu Sans"/>
          <w:b w:val="0"/>
          <w:color w:val="252A2E"/>
          <w:sz w:val="24"/>
        </w:rPr>
        <w:t>Подтвердить объём, оформить сдачу результата работ и предъявить обоснованное требование об оплате.</w:t>
      </w:r>
    </w:p>
    <w:p>
      <w:r>
        <w:br w:type="page"/>
      </w:r>
    </w:p>
    <w:p>
      <w:pPr>
        <w:pStyle w:val="Title"/>
      </w:pPr>
      <w:r>
        <w:rPr>
          <w:rFonts w:ascii="Arial" w:hAnsi="Arial"/>
          <w:color w:val="AE8031"/>
        </w:rPr>
        <w:t>Система получения оплаты за выполненные работы</w:t>
      </w:r>
    </w:p>
    <w:p>
      <w:pPr>
        <w:spacing w:after="60"/>
      </w:pPr>
      <w:r>
        <w:rPr>
          <w:rFonts w:ascii="Arial" w:hAnsi="Arial"/>
        </w:rPr>
        <w:t>Подтвердить выполненный объём, оформить сдачу результата работ и предъявить обоснованное требование об оплате.</w:t>
      </w:r>
    </w:p>
    <w:p>
      <w:pPr>
        <w:pStyle w:val="Heading1"/>
      </w:pPr>
      <w:r>
        <w:rPr>
          <w:rFonts w:ascii="Arial" w:hAnsi="Arial"/>
        </w:rPr>
        <w:t>Организация документального сопровождения</w:t>
      </w:r>
    </w:p>
    <w:p>
      <w:pPr>
        <w:pStyle w:val="ListNumber"/>
        <w:spacing w:after="60"/>
      </w:pPr>
      <w:r>
        <w:rPr>
          <w:rFonts w:ascii="Arial" w:hAnsi="Arial"/>
        </w:rPr>
        <w:t>Систематизируйте документы по объектам, договорам и отчётным периодам. Для каждого комплекта укажите номер договора и наименование объекта.</w:t>
      </w:r>
    </w:p>
    <w:p>
      <w:pPr>
        <w:pStyle w:val="ListNumber"/>
        <w:spacing w:after="60"/>
      </w:pPr>
      <w:r>
        <w:rPr>
          <w:rFonts w:ascii="Arial" w:hAnsi="Arial"/>
        </w:rPr>
        <w:t>Назначьте ответственных за учёт объёмов, передачу документов, устранение замечаний и контроль оплаты.</w:t>
      </w:r>
    </w:p>
    <w:p>
      <w:pPr>
        <w:pStyle w:val="ListNumber"/>
        <w:spacing w:after="60"/>
      </w:pPr>
      <w:r>
        <w:rPr>
          <w:rFonts w:ascii="Arial" w:hAnsi="Arial"/>
        </w:rPr>
        <w:t>Внесите реквизиты сторон, договора и объекта. Проверьте согласованные адреса и способы направления юридически значимых сообщений.</w:t>
      </w:r>
    </w:p>
    <w:p>
      <w:pPr>
        <w:pStyle w:val="ListNumber"/>
        <w:spacing w:after="60"/>
      </w:pPr>
      <w:r>
        <w:rPr>
          <w:rFonts w:ascii="Arial" w:hAnsi="Arial"/>
        </w:rPr>
        <w:t>Определите предъявляемый к сдаче объём. Сопоставьте журнал работ, смету, акты, исполнительную документацию и документы о передаче.</w:t>
      </w:r>
    </w:p>
    <w:p>
      <w:pPr>
        <w:pStyle w:val="ListNumber"/>
        <w:spacing w:after="60"/>
      </w:pPr>
      <w:r>
        <w:rPr>
          <w:rFonts w:ascii="Arial" w:hAnsi="Arial"/>
        </w:rPr>
        <w:t>Зафиксируйте договорные сроки приёмки, устранения замечаний и оплаты. Назначьте даты внутреннего контроля до истечения соответствующих сроков.</w:t>
      </w:r>
    </w:p>
    <w:p>
      <w:pPr>
        <w:pStyle w:val="Heading1"/>
      </w:pPr>
      <w:r>
        <w:rPr>
          <w:rFonts w:ascii="Arial" w:hAnsi="Arial"/>
        </w:rPr>
        <w:t>Состав и назначение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Файл</w:t>
            </w:r>
          </w:p>
        </w:tc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Когда использовать</w:t>
            </w:r>
          </w:p>
        </w:tc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01-ks-2.xls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оформлении объёмов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Проект КС-2 с проверенными объёмами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02-ks-3.xls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своде стоимости по КС-2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Проект КС-3 с проверенной суммой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03-akt-vypolnennyh-rabot.docx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фиксации выполненных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 с датой и подписями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04-akt-priemki.docx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согласовании результата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 приёмки с замечаниями или подписями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05-peredatochnyy-akt.docx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передаче пакета заказчику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Состав переданного и подтверждение вручения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06-zhurnal-ucheta-rabot-ks-6a.xls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учёта выполненных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Журнал по форме КС-6а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06A-rabochiy-reestr-obemov.xlsx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оперативного учёта объёмов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Записи и ссылки на подтверждения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07-reestr-zamechaniy.xlsx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учёта и закрытия замечаний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Статусы, сроки и доказательства закрытия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08-reestr-peredachi.xlsx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фиксации состава и передачи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Дата, канал, получатель и подтверждение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09-checklist-peredachi.pdf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Перед передачей комплекта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Результаты проверки состава и оформления документов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10-sroki-hraneniya.pdf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организации хранения и подтверждений передачи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Определены правила хранения по виду документов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11-slovar-poley.docx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</w:rPr>
              <w:t>Для заполнения форм: значения полей и источники данных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Проверены исходные данные для заполнения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12-pretenziya-na-neoplatu-po-ks-2.docx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После проверки приёмки, срока оплаты и претензионного порядка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Адаптированная претензия с приложениями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13-uvedomlenie-o-prosrochke-oplaty.docx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наступлении просрочки оплаты по договору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Адаптированное уведомление и доказательство отправки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14-raschet-procentov-395-gk.xlsx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расчёта процентов по ст. 395 ГК РФ по периодам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Проверенный расчёт с исходными данными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15-algoritm-pri-zaderzhke-oplaty.docx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выбора следующего шага при задержке оплаты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План действий и контроль сроков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16-iskovoe-zayavlenie-o-vzyskanii.docx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Перед подготовкой обращения в арбитражный суд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Адаптированный проект иска и список приложений</w:t>
            </w:r>
          </w:p>
        </w:tc>
      </w:tr>
    </w:tbl>
    <w:p>
      <w:pPr>
        <w:pStyle w:val="Heading1"/>
      </w:pPr>
      <w:r>
        <w:rPr>
          <w:rFonts w:ascii="Arial" w:hAnsi="Arial"/>
        </w:rPr>
        <w:t>Правила адаптации</w:t>
      </w:r>
    </w:p>
    <w:p>
      <w:pPr>
        <w:pStyle w:val="ListBullet"/>
        <w:spacing w:after="60"/>
      </w:pPr>
      <w:r>
        <w:rPr>
          <w:rFonts w:ascii="Arial" w:hAnsi="Arial"/>
        </w:rPr>
        <w:t>Заполните поля в квадратных и двойных фигурных скобках, затем удалите обозначения полей и подсказки. Проверьте заполненную форму перед отправкой.</w:t>
      </w:r>
    </w:p>
    <w:p>
      <w:pPr>
        <w:pStyle w:val="ListBullet"/>
        <w:spacing w:after="60"/>
      </w:pPr>
      <w:r>
        <w:rPr>
          <w:rFonts w:ascii="Arial" w:hAnsi="Arial"/>
        </w:rPr>
        <w:t>Термины и сроки должны совпадать с договором.</w:t>
      </w:r>
    </w:p>
    <w:p>
      <w:pPr>
        <w:pStyle w:val="ListBullet"/>
        <w:spacing w:after="60"/>
      </w:pPr>
      <w:r>
        <w:rPr>
          <w:rFonts w:ascii="Arial" w:hAnsi="Arial"/>
        </w:rPr>
        <w:t>Не меняйте факты задним числом; выпускайте новую версию.</w:t>
      </w:r>
    </w:p>
    <w:p>
      <w:pPr>
        <w:pStyle w:val="ListBullet"/>
        <w:spacing w:after="60"/>
      </w:pPr>
      <w:r>
        <w:rPr>
          <w:rFonts w:ascii="Arial" w:hAnsi="Arial"/>
        </w:rPr>
        <w:t>Сохраняйте подтверждение доставки рядом с отправленным файлом.</w:t>
      </w:r>
    </w:p>
    <w:p>
      <w:pPr>
        <w:pStyle w:val="ListBullet"/>
        <w:spacing w:after="60"/>
      </w:pPr>
      <w:r>
        <w:rPr>
          <w:rFonts w:ascii="Arial" w:hAnsi="Arial"/>
        </w:rPr>
        <w:t>Сопоставьте формулировки с условиями договора и подтверждающими документами объекта.</w:t>
      </w:r>
    </w:p>
    <w:p>
      <w:pPr>
        <w:pStyle w:val="ListBullet"/>
        <w:spacing w:after="60"/>
      </w:pPr>
      <w:r>
        <w:rPr>
          <w:rFonts w:ascii="Arial" w:hAnsi="Arial"/>
        </w:rPr>
        <w:t>Сверьте правовые нормы и реквизиты на дату использования; ставки, сроки и порядок берите из источников, указанных в соответствующем файле.</w:t>
      </w:r>
    </w:p>
    <w:p>
      <w:pPr>
        <w:pStyle w:val="Heading1"/>
      </w:pPr>
      <w:r>
        <w:rPr>
          <w:rFonts w:ascii="Arial" w:hAnsi="Arial"/>
        </w:rPr>
        <w:t>Контроль результата</w:t>
      </w:r>
    </w:p>
    <w:p>
      <w:pPr>
        <w:spacing w:after="60"/>
      </w:pPr>
      <w:r>
        <w:rPr>
          <w:rFonts w:ascii="Arial" w:hAnsi="Arial"/>
        </w:rPr>
        <w:t>По каждому предъявляемому объёму проверьте основание, подтверждающие документы, стоимость, дату передачи и срок оплаты. Форма КС-6а — файл 06; оперативный учёт объёмов и подтверждений — 06A. Реестр 07 содержит замечания, реестр 08 — передачу документов. До расчёта процентов в файле 14 сверьте остаток с банковскими выписками.</w:t>
      </w:r>
    </w:p>
    <w:p>
      <w:pPr>
        <w:pStyle w:val="Heading2"/>
      </w:pPr>
      <w:r>
        <w:rPr>
          <w:rFonts w:ascii="Arial" w:hAnsi="Arial"/>
          <w:color w:val="000000"/>
          <w:sz w:val="20"/>
        </w:rPr>
        <w:t>Происхождение и применение форм</w:t>
      </w:r>
    </w:p>
    <w:p>
      <w:pPr>
        <w:spacing w:after="60"/>
      </w:pPr>
      <w:r>
        <w:rPr>
          <w:rFonts w:ascii="Arial" w:hAnsi="Arial"/>
        </w:rPr>
        <w:t>Файлы 01-ks-2.xls, 02-ks-3.xls и 06-zhurnal-ucheta-rabot-ks-6a.xls — опубликованные бланки КС-2, КС-3 и КС-6а по постановлению Госкомстата России от 11.11.1999 № 100. Текст, графы и оформление сохранены. Заполните их в Excel по документам объекта; применимость проверьте по договору и учётной политике.</w:t>
      </w:r>
    </w:p>
    <w:p>
      <w:pPr>
        <w:spacing w:after="60"/>
      </w:pPr>
      <w:r>
        <w:rPr>
          <w:rFonts w:ascii="Arial" w:hAnsi="Arial"/>
        </w:rPr>
        <w:t>При заполнении сохраните все предусмотренные графы, реквизиты и подписные строки. Дополнительные расчёты и пояснения оформляйте отдельными приложениями. Пустые поля заполняйте в соответствии с согласованным порядком документооборота.</w:t>
      </w:r>
    </w:p>
    <w:p>
      <w:pPr>
        <w:spacing w:after="60"/>
      </w:pPr>
      <w:r>
        <w:rPr>
          <w:rFonts w:ascii="Arial" w:hAnsi="Arial"/>
        </w:rPr>
        <w:t>Файл 06A предназначен для оперативного учёта объёмов и подтверждений. Форму КС-6а заполняйте в файле 06 по документам объекта. Источник бланков КС-2, КС-3 и КС-6а: https://www.consultant.ru/document/cons_doc_LAW_26303/ .</w:t>
      </w:r>
    </w:p>
    <w:p>
      <w:pPr>
        <w:pStyle w:val="Title"/>
        <w:pageBreakBefore/>
        <w:spacing w:before="960"/>
      </w:pPr>
      <w:r>
        <w:t>Связь с проектом</w:t>
      </w:r>
    </w:p>
    <w:p>
      <w:pPr>
        <w:spacing w:after="560"/>
      </w:pPr>
      <w:r>
        <w:t>Вопросы по заполнению документов и выбору порядка действий можно направить удобным способом. Укажите комплект и файл, по которому возник вопрос.</w:t>
      </w:r>
    </w:p>
    <w:p>
      <w:pPr>
        <w:spacing w:after="360"/>
      </w:pPr>
      <w:r>
        <w:rPr>
          <w:b/>
          <w:sz w:val="22"/>
        </w:rPr>
        <w:t>Сайт</w:t>
        <w:br/>
      </w:r>
      <w:hyperlink r:id="rId11">
        <w:r>
          <w:rPr>
            <w:color w:val="4F5B65"/>
          </w:rPr>
          <w:t>https://nastoronepodryadchika.ru/</w:t>
        </w:r>
      </w:hyperlink>
    </w:p>
    <w:p>
      <w:pPr>
        <w:spacing w:after="360"/>
      </w:pPr>
      <w:r>
        <w:rPr>
          <w:b/>
          <w:sz w:val="22"/>
        </w:rPr>
        <w:t>Telegram</w:t>
        <w:br/>
      </w:r>
      <w:hyperlink r:id="rId12">
        <w:r>
          <w:rPr>
            <w:color w:val="4F5B65"/>
          </w:rPr>
          <w:t>https://t.me/nastoronepodryadchika</w:t>
        </w:r>
      </w:hyperlink>
    </w:p>
    <w:p>
      <w:pPr>
        <w:spacing w:after="360"/>
      </w:pPr>
      <w:r>
        <w:rPr>
          <w:b/>
          <w:sz w:val="22"/>
        </w:rPr>
        <w:t>Instagram</w:t>
        <w:br/>
      </w:r>
      <w:hyperlink r:id="rId13">
        <w:r>
          <w:rPr>
            <w:color w:val="4F5B65"/>
          </w:rPr>
          <w:t>https://www.instagram.com/nastoronepodryadchika/</w:t>
        </w:r>
      </w:hyperlink>
    </w:p>
    <w:p>
      <w:pPr>
        <w:spacing w:after="360"/>
      </w:pPr>
      <w:r>
        <w:rPr>
          <w:b/>
          <w:sz w:val="22"/>
        </w:rPr>
        <w:t>Дзен</w:t>
        <w:br/>
      </w:r>
      <w:hyperlink r:id="rId14">
        <w:r>
          <w:rPr>
            <w:color w:val="4F5B65"/>
          </w:rPr>
          <w:t>https://m.dzen.ru/nastoronepodryadchika</w:t>
        </w:r>
      </w:hyperlink>
    </w:p>
    <w:p>
      <w:pPr>
        <w:spacing w:after="360"/>
      </w:pPr>
      <w:r>
        <w:rPr>
          <w:b/>
          <w:sz w:val="22"/>
        </w:rPr>
        <w:t>Почта</w:t>
        <w:br/>
      </w:r>
      <w:hyperlink r:id="rId15">
        <w:r>
          <w:rPr>
            <w:color w:val="4F5B65"/>
          </w:rPr>
          <w:t>nastoronepodryadchika@yandex.ru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DejaVu Sans" w:hAnsi="DejaVu Sans"/>
        <w:color w:val="4F5B65"/>
        <w:sz w:val="19"/>
      </w:rPr>
      <w:t xml:space="preserve">На стороне подрядчика   </w:t>
    </w:r>
    <w:hyperlink r:id="rId2">
      <w:r>
        <w:drawing>
          <wp:inline xmlns:a="http://schemas.openxmlformats.org/drawingml/2006/main" xmlns:pic="http://schemas.openxmlformats.org/drawingml/2006/picture">
            <wp:extent cx="144000" cy="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/>
                  </pic:spPr>
                </pic:pic>
              </a:graphicData>
            </a:graphic>
          </wp:inline>
        </w:drawing>
      </w:r>
    </w:hyperlink>
    <w:r>
      <w:t xml:space="preserve">   </w:t>
    </w:r>
    <w:hyperlink r:id="rId4">
      <w:r>
        <w:drawing>
          <wp:inline xmlns:a="http://schemas.openxmlformats.org/drawingml/2006/main" xmlns:pic="http://schemas.openxmlformats.org/drawingml/2006/picture">
            <wp:extent cx="144000" cy="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gra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/>
                  </pic:spPr>
                </pic:pic>
              </a:graphicData>
            </a:graphic>
          </wp:inline>
        </w:drawing>
      </w:r>
    </w:hyperlink>
    <w:r>
      <w:t xml:space="preserve">   </w:t>
    </w:r>
    <w:hyperlink r:id="rId6">
      <w:r>
        <w:drawing>
          <wp:inline xmlns:a="http://schemas.openxmlformats.org/drawingml/2006/main" xmlns:pic="http://schemas.openxmlformats.org/drawingml/2006/picture">
            <wp:extent cx="144000" cy="1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/>
                  </pic:spPr>
                </pic:pic>
              </a:graphicData>
            </a:graphic>
          </wp:inline>
        </w:drawing>
      </w:r>
    </w:hyperlink>
    <w:r>
      <w:t xml:space="preserve">   </w:t>
    </w:r>
    <w:hyperlink r:id="rId8">
      <w:r>
        <w:drawing>
          <wp:inline xmlns:a="http://schemas.openxmlformats.org/drawingml/2006/main" xmlns:pic="http://schemas.openxmlformats.org/drawingml/2006/picture">
            <wp:extent cx="144000" cy="1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/>
                  </pic:spPr>
                </pic:pic>
              </a:graphicData>
            </a:graphic>
          </wp:inline>
        </w:drawing>
      </w:r>
    </w:hyperlink>
    <w:r>
      <w:t xml:space="preserve">   </w:t>
    </w:r>
    <w:hyperlink r:id="rId10">
      <w:r>
        <w:drawing>
          <wp:inline xmlns:a="http://schemas.openxmlformats.org/drawingml/2006/main" xmlns:pic="http://schemas.openxmlformats.org/drawingml/2006/picture">
            <wp:extent cx="144000" cy="1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/>
                  </pic:spPr>
                </pic:pic>
              </a:graphicData>
            </a:graphic>
          </wp:inline>
        </w:drawing>
      </w:r>
    </w:hyperlink>
    <w:r>
      <w:t xml:space="preserve">   </w:t>
    </w:r>
    <w:r>
      <w:rPr>
        <w:sz w:val="18"/>
      </w:rP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xmlns:pic="http://schemas.openxmlformats.org/drawingml/2006/picture" behindDoc="1" simplePos="0" relativeHeight="0" locked="0" layoutInCell="1" allowOverlap="1">
          <wp:simplePos x="0" y="0"/>
          <wp:positionH relativeFrom="page">
            <wp:posOffset>7056000</wp:posOffset>
          </wp:positionH>
          <wp:positionV relativeFrom="page">
            <wp:posOffset>6120000</wp:posOffset>
          </wp:positionV>
          <wp:extent cx="468000" cy="2880000"/>
          <wp:docPr id="1" name="Picture 1"/>
          <wp:wrapNone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ge-decorati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8000" cy="288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52A2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astoronepodryadchika.ru/" TargetMode="External"/><Relationship Id="rId12" Type="http://schemas.openxmlformats.org/officeDocument/2006/relationships/hyperlink" Target="https://t.me/nastoronepodryadchika" TargetMode="External"/><Relationship Id="rId13" Type="http://schemas.openxmlformats.org/officeDocument/2006/relationships/hyperlink" Target="https://www.instagram.com/nastoronepodryadchika/" TargetMode="External"/><Relationship Id="rId14" Type="http://schemas.openxmlformats.org/officeDocument/2006/relationships/hyperlink" Target="https://m.dzen.ru/nastoronepodryadchika" TargetMode="External"/><Relationship Id="rId15" Type="http://schemas.openxmlformats.org/officeDocument/2006/relationships/hyperlink" Target="mailto:nastoronepodryadchika@yandex.ru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nastoronepodryadchika.ru/" TargetMode="External"/><Relationship Id="rId3" Type="http://schemas.openxmlformats.org/officeDocument/2006/relationships/image" Target="media/image2.png"/><Relationship Id="rId4" Type="http://schemas.openxmlformats.org/officeDocument/2006/relationships/hyperlink" Target="https://t.me/nastoronepodryadchika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www.instagram.com/nastoronepodryadchika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m.dzen.ru/nastoronepodryadchika" TargetMode="External"/><Relationship Id="rId9" Type="http://schemas.openxmlformats.org/officeDocument/2006/relationships/image" Target="media/image5.png"/><Relationship Id="rId10" Type="http://schemas.openxmlformats.org/officeDocument/2006/relationships/hyperlink" Target="mailto:nastoronepodryadchika@yandex.ru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получения оплаты за выполненные работы</dc:title>
  <dc:subject>Пилот оформления инструкции P1</dc:subject>
  <dc:creator>На стороне подрядчика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