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AE8031"/>
          <w:sz w:val="32"/>
        </w:rPr>
        <w:t>Перечень пакета для требования кредитора</w:t>
      </w:r>
    </w:p>
    <w:p>
      <w:r>
        <w:t>Должник {{...}}  Дело № {{...}}  Кредитор {{...}}  Ответственный {{...}}  Дата сверки {{...}}</w:t>
      </w:r>
    </w:p>
    <w:p>
      <w:r>
        <w:t>Отмечайте наличие, реквизиты и количество страниц каждого документа.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  <w:cantSplit/>
        </w:trPr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Документ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Реквизиты / период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Есть / нет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Листы</w:t>
            </w:r>
          </w:p>
        </w:tc>
      </w:tr>
      <w:tr>
        <w:trPr>
          <w:cantSplit/>
          <w:cantSplit/>
        </w:trPr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Договор, приложения, протокол и изменения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</w:tr>
      <w:tr>
        <w:trPr>
          <w:cantSplit/>
          <w:cantSplit/>
        </w:trPr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Проект, ведомость объёмов, смета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</w:tr>
      <w:tr>
        <w:trPr>
          <w:cantSplit/>
          <w:cantSplit/>
        </w:trPr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Уведомления о готовности, КС-2/КС-3, иные акты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</w:tr>
      <w:tr>
        <w:trPr>
          <w:cantSplit/>
          <w:cantSplit/>
        </w:trPr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Исполнительная документация и подтверждения передачи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</w:tr>
      <w:tr>
        <w:trPr>
          <w:cantSplit/>
          <w:cantSplit/>
        </w:trPr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Письма, замечания, мотивированные ответы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</w:tr>
      <w:tr>
        <w:trPr>
          <w:cantSplit/>
          <w:cantSplit/>
        </w:trPr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Платежи, выписки, акт сверки, расчёт долга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</w:tr>
      <w:tr>
        <w:trPr>
          <w:cantSplit/>
          <w:cantSplit/>
        </w:trPr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Судебный акт, публикация, карточка дела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</w:tr>
      <w:tr>
        <w:trPr>
          <w:cantSplit/>
          <w:cantSplit/>
        </w:trPr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ЕГРЮЛ, полномочия подписанта, доверенность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</w:tr>
      <w:tr>
        <w:trPr>
          <w:cantSplit/>
          <w:cantSplit/>
        </w:trPr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Подтверждение направления копий участникам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</w:tr>
      <w:tr>
        <w:trPr>
          <w:cantSplit/>
          <w:cantSplit/>
        </w:trPr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Пошлина: платёж либо основание льготы с подтверждением либо ходатайство с доказательствами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Вариант и основание {{...}}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</w:tr>
      <w:tr>
        <w:trPr>
          <w:cantSplit/>
          <w:cantSplit/>
        </w:trPr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Расчёт срока: процедура, источник и дата публикации, предельная дата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</w:tr>
      <w:tr>
        <w:trPr>
          <w:cantSplit/>
          <w:cantSplit/>
        </w:trPr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При пропуске: ходатайство о восстановлении срока и доказательства причин — если применимо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  <w:tc>
          <w:tcPr>
            <w:tcW w:type="dxa" w:w="2409"/>
          </w:tcPr>
          <w:p>
            <w:pPr>
              <w:spacing w:after="40"/>
            </w:pPr>
            <w:r>
              <w:rPr>
                <w:rFonts w:ascii="Arial" w:hAnsi="Arial"/>
                <w:sz w:val="16"/>
              </w:rPr>
              <w:t>{{...}}</w:t>
            </w:r>
          </w:p>
        </w:tc>
      </w:tr>
    </w:tbl>
    <w:p>
      <w:r>
        <w:t>Основной долг и санкции рассчитайте отдельно. Текущие платежи не включайте в сумму, заявленную в реестр. Документы из таблицы подбирайте по основанию требования; неприменимость отметьте с причиной. Адресаты и сроки — по таблице алгоритма 02. После отправки сохраните квитанцию электронной подачи в суд и доказательства направления копий. Недостающие документы: {{...}}; ответственный и дата получения: {{...}}.</w:t>
      </w:r>
    </w:p>
    <w:p>
      <w:pPr>
        <w:keepNext/>
      </w:pPr>
      <w:r>
        <w:rPr>
          <w:b/>
          <w:sz w:val="20"/>
        </w:rPr>
        <w:t>Нормативные основания · проверено 21.10.2026</w:t>
      </w:r>
    </w:p>
    <w:p>
      <w:pPr>
        <w:spacing w:after="60"/>
      </w:pPr>
      <w:hyperlink r:id="rId10">
        <w:r>
          <w:rPr>
            <w:color w:val="806238"/>
            <w:sz w:val="18"/>
            <w:u w:val="single"/>
          </w:rPr>
          <w:t>АПК РФ, ст. 126, ч. 1, п. 2 — документы о пошлине</w:t>
        </w:r>
      </w:hyperlink>
    </w:p>
    <w:p>
      <w:pPr>
        <w:spacing w:after="60"/>
      </w:pPr>
      <w:hyperlink r:id="rId11">
        <w:r>
          <w:rPr>
            <w:color w:val="806238"/>
            <w:sz w:val="18"/>
            <w:u w:val="single"/>
          </w:rPr>
          <w:t>НК РФ, ст. 333.21, п. 1, подп. 1 и 9 — расчёт</w:t>
        </w:r>
      </w:hyperlink>
    </w:p>
    <w:p>
      <w:pPr>
        <w:spacing w:after="60"/>
      </w:pPr>
      <w:hyperlink r:id="rId12">
        <w:r>
          <w:rPr>
            <w:color w:val="806238"/>
            <w:sz w:val="18"/>
            <w:u w:val="single"/>
          </w:rPr>
          <w:t>НК РФ, ст. 333.37, п. 1, подп. 5 — льгота</w:t>
        </w:r>
      </w:hyperlink>
    </w:p>
    <w:sectPr w:rsidR="00FC693F" w:rsidRPr="0006063C" w:rsidSect="00034616">
      <w:footerReference w:type="default" r:id="rId9"/>
      <w:pgSz w:w="11906" w:h="16838"/>
      <w:pgMar w:top="1020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AE8031"/>
        <w:sz w:val="16"/>
      </w:rPr>
      <w:t>НА СТОРОНЕ ПОДРЯДЧИКА  /  P9  /  21.10.2026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2B323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consultant.ru/document/cons_doc_LAW_37800/3602d6d485c2ed29f7b862fc5d814eac05274be0/" TargetMode="External"/><Relationship Id="rId11" Type="http://schemas.openxmlformats.org/officeDocument/2006/relationships/hyperlink" Target="https://www.consultant.ru/document/cons_doc_LAW_28165/fd44625defd599290366d418d3be13d277f1515d/" TargetMode="External"/><Relationship Id="rId12" Type="http://schemas.openxmlformats.org/officeDocument/2006/relationships/hyperlink" Target="https://www.consultant.ru/document/cons_doc_LAW_28165/1059c2aec85339ac38a3525d80fdd0e8d043b132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