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Чек-лист проверки расчётов в неденежной форме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1"/>
          <w:szCs w:val="24"/>
        </w:rPr>
        <w:t xml:space="preserve">Рабочий лист к «Алгоритму: проверка расчёта метрами до входа»: алгоритм ведёт по шагам, лист фиксирует ответы. Заполняется до подписания договора подряда и любых бумаг по метрам. Не заполнен — решение о входе не принимается.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1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1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1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1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1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40" w:line="259" w:lineRule="auto"/>
      </w:pP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1. Форма сделки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Названа форма: передача готового объекта / ДДУ на подрядчика / уступка / иное (записать).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Если уступка — известен первый участник (не аффилированное ли лицо застройщика) и причина уступки.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Получены документы о передаче объекта. Для готового объекта проверены сведения ЕГРН о праве и обременениях; при уступке по ДДУ — регистрация договора и стадия передачи объекта (ч. 2 ст. 11 Закона № 214-ФЗ). Передача оформлена или стадия не подтверждена — СТОП до определения применимой формы сделки.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Предварительных договоров и устных «после ввода оформим» в схеме нет.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2. Оплата и эскроу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Известно: открыт ли счёт эскроу по передаваемому ДДУ и в каком банке.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При уступке по ДДУ банковским документом подтверждены внесённая сумма и остаток к внесению; сопоставлены цена ДДУ и условия перевода долга. По новому ДДУ на подрядчика до подписания проверены порядок финансирования и доступный источник денег: средства на эскроу вносятся после регистрации ДДУ (ч. 4 ст. 15.5 Закона № 214-ФЗ).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В уступке прочитан пункт об обязательствах по внесению средств на эскроу: переходят ли они на подрядчика (памятка «Читаем уступку: пункт об обязательствах по эскроу»).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Разделены цена ДДУ на эскроу, цена уступки цеденту и расчёт за работы. При неоплаченном ДДУ проверены одновременный перевод долга и согласие кредитора (ч. 1 ст. 11 Закона № 214-ФЗ; п. 2 ст. 391 ГК РФ). При цеденте — юридическом лице проверена уплата цены уступки после госрегистрации (ч. 3 ст. 11 Закона № 214-ФЗ); при зачёте работ — момент зачёта и встречные требования. Зачёт не подтверждает пополнение эскроу (ч. 3 ст. 15.4 Закона № 214-ФЗ).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3. Объект и застройщик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Проектная декларация в ЕИСЖС прочитана: срок ввода, переносы.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Разрешение на строительство действует; дата окончания записана.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Картотека арбитража проверена: иски, банкротство.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Федресурс проверен: намерений кредиторов нет.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Выписка ЕГРЮЛ свежая: статус действующий, собственник известен.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Состояние дома осмотрено; отставание от графика названо. Письменная фиксация статуса — «Запрос застройщику о статусе объекта».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4. Финансирование и продажи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Известен банк проектного финансирования.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Условия проектного финансирования и ограничения по кредитной документации запрошены и проверены в доступной части; ход строительства и платежи подрядчикам сами по себе не подтверждают отсутствие ограничений.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Темпы продаж посмотрены: зарегистрированные ДДУ и динамика.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Понятно, почему застройщик платит метрами, а не деньгами — ответ записан словами.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5. Экономика метра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Реальная цена продажи по стакану предложений: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1"/>
          <w:szCs w:val="24"/>
        </w:rPr>
        <w:t xml:space="preserve">{{ЦЕНА_РЫНКА}}</w:t>
      </w: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Цена метра в расчёте с учётом скидки: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1"/>
          <w:szCs w:val="24"/>
        </w:rPr>
        <w:t xml:space="preserve">{{ЦЕНА_В_РАСЧЁТЕ}}</w:t>
      </w: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Ожидаемый срок продажи и дисконт быстрой продажи оценены.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Налоги при получении и продаже посчитаны с бухгалтером.</w:t>
      </w:r>
    </w:p>
    <w:p>
      <w:pPr>
        <w:spacing w:after="40" w:line="259" w:lineRule="auto"/>
      </w:pPr>
      <w:r>
        <w:rPr>
          <w:rFonts w:ascii="Times New Roman" w:hAnsi="Times New Roman"/>
          <w:i w:val="0"/>
          <w:color w:val="34383C"/>
          <w:sz w:val="21"/>
        </w:rPr>
        <w:t>☐  В таблице учтены дополнительные деньги подрядчика и денежная часть расчёта. Сравнивается вся согласованная схема с суммой долга, которую она погашает. Себестоимость работ и прибыль объекта анализируются отдельно в бюджете. Неизвестная доплата или неподтверждённый платёж — незавершённый расчёт, а не ноль.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835"/>
        <w:gridCol w:w="3572"/>
        <w:gridCol w:w="3061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Показатель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Значение, 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Как проверить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А. Цена продажи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Сопоставимые предложения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Б. Дисконт, %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Сценарий быстрой продажи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В. Выручка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А × (1 − Б / 100)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Расчёт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Г. Налоги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Режим и состав сделки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Д. Расходы продажи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Комиссия, оформление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Е. Финансирование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8"/>
              </w:rPr>
              <w:t>Долг × ставка (%) × мес. / 1200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Только стоимость финансирования, без повторного вычета основного долга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Ж. Новые доплаты подрядчика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Остаток цены ДДУ / доплата цеденту / иные новые платежи; расшифровать, без дублей Г–Е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З. Чистое поступление от недвижимости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В − Г − Д − Е − 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Подтверждённые величины; неизвестное ≠ 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И. Денежная часть расчёта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Деньги подрядчику в счёт того же долга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К. Суммарное поступление по схеме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 + И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Недвижимость и деньги вместе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Л. Погашаемый долг за работы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Долг, прекращаемый всей схемой; не вся цена договора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М. Разница с денежной оплатой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 − Л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Экономическое сравнение на одном периметре долга</w:t>
            </w:r>
          </w:p>
        </w:tc>
      </w:tr>
    </w:tbl>
    <w:p>
      <w:r>
        <w:rPr>
          <w:rFonts w:ascii="Times New Roman" w:hAnsi="Times New Roman"/>
          <w:color w:val="34383C"/>
          <w:sz w:val="21"/>
        </w:rPr>
        <w:t>Контрольный пример 1: продажа 10 000 000 ₽, дисконт 5% → выручка 9 500 000 ₽; налоги 600 000 ₽, продажа 200 000 ₽, финансирование 400 000 ₽ → 8 300 000 ₽ до новых доплат. Доплата по ДДУ из денег подрядчика 3 000 000 ₽ → чистое поступление 5 300 000 ₽. При погашаемом долге 9 000 000 ₽ разница −3 700 000 ₽. Контрольный пример 2: чистое поступление от недвижимости 6 500 000 ₽ плюс денежная часть 3 000 000 ₽ минус погашаемый долг 9 000 000 ₽ = +500 000 ₽. Цифры учебные.</w:t>
      </w:r>
    </w:p>
    <w:p>
      <w:pPr>
        <w:pStyle w:val="Heading2"/>
        <w:keepNext/>
        <w:pageBreakBefore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6. Договор подряда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Денежная часть расчёта записана: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1"/>
          <w:szCs w:val="24"/>
        </w:rPr>
        <w:t xml:space="preserve">{{ДОЛЯ_ДЕНЬГАМИ}}</w:t>
      </w: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Передача прав привязана к закрытию объёмов, а не к вводу.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Судьба расчёта при срыве ввода / отзыве разрешения / остановке финансирования записана в договоре.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Проект сделки проверен независимым от застройщика юристом. Правило комплекта: каждый красный флаг — правовая оценка. Два и более — СТОП: до проверки не подписывайте сделку и не начинайте работы в счёт недвижимости. Возобновление — после документальной проверки рисков, согласования мер защиты, включая обеспечение, и письменного решения руководителя. Правовые препятствия должны быть устранены.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7. Красные флаги — правило остановки в разделе 6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При уступке: размер внесённых на эскроу средств либо остатка обязательства документально не подтверждён. При новом ДДУ: не подтверждён источник денег для внесения после регистрации. Это разные риски; отсутствие пополнения до регистрации нового ДДУ само по себе не является нарушением этой последовательности.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☐  В уступке предлагается переход обязанности внести деньги на эскроу — размер долга, одновременный перевод и согласие кредитора проверены до решения.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ДДУ оформлены на аффилированное с застройщиком физлицо.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Проектное финансирование остановлено или есть признаки.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Срок ввода уже переносился.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В выдаче ЗОС отказано, замечания надзора не сняты.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Разрешение на строительство на исходе или истекло.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Предыдущий пул подрядчиков ушёл с объекта.</w:t>
      </w:r>
    </w:p>
    <w:p>
      <w:p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☐  Скидка от метра заметно выше рыночной — цена риска, который продают вместе с метрами.</w:t>
      </w:r>
    </w:p>
    <w:p>
      <w:pPr>
        <w:keepNext/>
      </w:pPr>
      <w:r>
        <w:rPr>
          <w:b/>
          <w:sz w:val="20"/>
        </w:rPr>
        <w:t>Расшифровка дополнительных денег и подтверждений</w:t>
      </w:r>
    </w:p>
    <w:p>
      <w:r>
        <w:rPr>
          <w:rFonts w:ascii="Times New Roman" w:hAnsi="Times New Roman"/>
          <w:b w:val="0"/>
          <w:color w:val="34383C"/>
          <w:sz w:val="21"/>
        </w:rPr>
        <w:t>Для строки Ж запишите по каждому платежу: получатель, основание, сумма, срок и источник денег. Платёж, уже вычтенный в налогах, продаже или финансировании, второй раз не вычитайте. Денежную часть строки И подтверждайте договором и графиком; её срок и риск неполучения рассматривайте отдельно. Финансирование рассчитывайте только на фактический размер привлечённых средств и срок.</w:t>
      </w:r>
    </w:p>
    <w:p>
      <w:pPr>
        <w:keepNext/>
      </w:pPr>
      <w:r>
        <w:rPr>
          <w:b/>
          <w:sz w:val="20"/>
        </w:rPr>
        <w:t>Нормативные основания · проверено 21.10.2026</w:t>
      </w:r>
    </w:p>
    <w:p>
      <w:pPr>
        <w:spacing w:after="60"/>
      </w:pPr>
      <w:hyperlink r:id="rId10">
        <w:r>
          <w:rPr>
            <w:color w:val="806238"/>
            <w:sz w:val="18"/>
            <w:u w:val="single"/>
          </w:rPr>
          <w:t>Закон № 214-ФЗ, ст. 11 — уступка, оплата и одновременный перевод долга</w:t>
        </w:r>
      </w:hyperlink>
    </w:p>
    <w:p>
      <w:pPr>
        <w:spacing w:after="60"/>
      </w:pPr>
      <w:hyperlink r:id="rId11">
        <w:r>
          <w:rPr>
            <w:color w:val="806238"/>
            <w:sz w:val="18"/>
            <w:u w:val="single"/>
          </w:rPr>
          <w:t>Закон № 214-ФЗ, ст. 15.5, ч. 4 — внесение денег после регистрации ДДУ</w:t>
        </w:r>
      </w:hyperlink>
    </w:p>
    <w:p>
      <w:pPr>
        <w:keepNext/>
      </w:pPr>
      <w:r>
        <w:rPr>
          <w:b/>
          <w:sz w:val="20"/>
        </w:rPr>
        <w:t>Помощь по комплекту</w:t>
      </w:r>
    </w:p>
    <w:p>
      <w:r>
        <w:rPr>
          <w:b w:val="0"/>
          <w:sz w:val="18"/>
        </w:rPr>
        <w:t>Вопрос по заполнению или ошибка: nastoronepodryadchika@yandex.ru. Укажите P11, редакцию 21.10.2026, файл и пункт; для таблицы — лист и ячейку. Пример направляйте без персональных данных и коммерческих реквизитов.</w:t>
      </w:r>
    </w:p>
    <w:p>
      <w:pPr>
        <w:spacing w:after="60"/>
      </w:pPr>
      <w:hyperlink r:id="rId12">
        <w:r>
          <w:rPr>
            <w:color w:val="806238"/>
            <w:sz w:val="18"/>
            <w:u w:val="single"/>
          </w:rPr>
          <w:t>При введённой процедуре банкротства — порядок предъявления требований, P9</w:t>
        </w:r>
      </w:hyperlink>
    </w:p>
    <w:p>
      <w:pPr>
        <w:spacing w:after="60"/>
      </w:pPr>
      <w:hyperlink r:id="rId13">
        <w:r>
          <w:rPr>
            <w:sz w:val="18"/>
            <w:color w:val="806238"/>
            <w:u w:val="single"/>
          </w:rPr>
          <w:t>Написать вопрос или сообщить об ошибке</w:t>
        </w:r>
      </w:hyperlink>
    </w:p>
    <w:sectPr>
      <w:headerReference w:type="default" r:id="rId8"/>
      <w:footerReference w:type="default" r:id="rId9"/>
      <w:pgSz w:w="11906" w:h="16838" w:orient="portrait"/>
      <w:pgMar w:top="700" w:right="850" w:bottom="7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51038/26e3de2d783e453c4faf7fb26c33eecafddc2307/" TargetMode="External"/><Relationship Id="rId11" Type="http://schemas.openxmlformats.org/officeDocument/2006/relationships/hyperlink" Target="https://www.consultant.ru/document/cons_doc_LAW_51038/7e20edcc51ba599c70fb328204e3ac1226e7d912/" TargetMode="External"/><Relationship Id="rId12" Type="http://schemas.openxmlformats.org/officeDocument/2006/relationships/hyperlink" Target="https://nastoronepodryadchika.ru/products/p9-bankrotstvo-genpodryadchika.html" TargetMode="External"/><Relationship Id="rId13" Type="http://schemas.openxmlformats.org/officeDocument/2006/relationships/hyperlink" Target="mailto:nastoronepodryadchika@yandex.ru?subject=P11%20-%20questio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2026-08-09T07:33:34.934Z</dcterms:created>
  <dcterms:modified xsi:type="dcterms:W3CDTF">2026-08-09T07:33:34.934Z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