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200"/>
        <w:jc w:val="center"/>
      </w:pPr>
      <w:r>
        <w:rPr>
          <w:color w:val="000000"/>
          <w:sz w:val="32"/>
        </w:rPr>
        <w:t>Проверочный лист условий аванса и обеспечения</w:t>
      </w:r>
    </w:p>
    <w:p/>
    <w:p>
      <w:pPr>
        <w:pStyle w:val="Heading1"/>
        <w:keepNext/>
      </w:pPr>
      <w:r>
        <w:rPr>
          <w:color w:val="000000"/>
          <w:sz w:val="24"/>
        </w:rPr>
        <w:t>Зачем этот лист</w:t>
      </w:r>
    </w:p>
    <w:p>
      <w:r>
        <w:t>Аванс — предварительная оплата будущих работ. Его получение не означает, что прибыль уже заработана. Порядок зачёта аванса уменьшает последующие платежи за работы; обязательство по неотработанной части и доступный остаток денег нужно проверять отдельно.</w:t>
        <w:br/>
        <w:br/>
        <w:t>Сопоставьте размер аванса, порядок погашения, обеспечение и основания возврата. Файл 02 разделяет удержанные и заблокированные деньги, фактические затраты, остаток аванса и стоимость непринятых работ. Единой суммы «денег не у вас» для этих разных величин нет.</w:t>
      </w:r>
    </w:p>
    <w:p>
      <w:pPr>
        <w:pStyle w:val="Heading1"/>
        <w:keepNext/>
      </w:pPr>
      <w:r>
        <w:rPr>
          <w:color w:val="000000"/>
          <w:sz w:val="24"/>
        </w:rPr>
        <w:t>Как им пользоваться</w:t>
      </w:r>
    </w:p>
    <w:p>
      <w:r>
        <w:t>Проверьте проект договора и приложения до подписания. Выпишите точные условия с номерами пунктов, затем оцените их влияние на расчёты по объекту.</w:t>
      </w:r>
    </w:p>
    <w:p>
      <w:pPr>
        <w:pStyle w:val="ListNumber"/>
      </w:pPr>
      <w:r>
        <w:t>Откройте проект договора и приложения к нему целиком: условия аванса регулярно живут не в разделе о цене, а в разделе о порядке расчётов, в графике финансирования и в приложении об обеспечении.</w:t>
      </w:r>
    </w:p>
    <w:p>
      <w:pPr>
        <w:pStyle w:val="ListNumber"/>
      </w:pPr>
      <w:r>
        <w:t>Пройдите таблицу ниже сверху вниз и выпишите формулировки дословно, с номером пункта. Пересказ своими словами здесь вреден: смысл пункта решают именно слова.</w:t>
      </w:r>
    </w:p>
    <w:p>
      <w:pPr>
        <w:pStyle w:val="ListNumber"/>
      </w:pPr>
      <w:r>
        <w:t>Отметьте отсутствующие и противоречивые условия. Уточните их письменно: пробел в тексте не даёт второй стороне безусловного права установить любое правило.</w:t>
      </w:r>
    </w:p>
    <w:p>
      <w:pPr>
        <w:pStyle w:val="ListNumber"/>
      </w:pPr>
      <w:r>
        <w:t>Перенесите подтверждённые суммы на выбранную дату в файл 02. Сверяйте каждый вид отдельно и исключайте повторный учёт одного платежа.</w:t>
      </w:r>
    </w:p>
    <w:p>
      <w:pPr>
        <w:pStyle w:val="ListNumber"/>
      </w:pPr>
      <w:r>
        <w:t>Сравните найденные формулировки со списком в файле 03. Совпадения — это вопросы к второй стороне, а не приговор договору.</w:t>
      </w:r>
    </w:p>
    <w:p>
      <w:pPr>
        <w:pStyle w:val="Heading1"/>
        <w:keepNext/>
      </w:pPr>
      <w:r>
        <w:rPr>
          <w:color w:val="000000"/>
          <w:sz w:val="24"/>
        </w:rPr>
        <w:t>Условие 1. Размер аванса</w:t>
      </w:r>
    </w:p>
    <w:p>
      <w:r>
        <w:t>Проверьте сумму, базу процента, срок и условия выплаты. Размер аванса нужно сопоставлять с графиком его зачёта и затратами на обеспечение.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  <w:tblHeader/>
        </w:trPr>
        <w:tc>
          <w:tcPr>
            <w:tcW w:type="dxa" w:w="2880"/>
          </w:tcPr>
          <w:p>
            <w:pPr>
              <w:keepNext w:val="0"/>
              <w:spacing w:after="60"/>
            </w:pPr>
            <w:r>
              <w:rPr>
                <w:sz w:val="20"/>
              </w:rPr>
              <w:t>Что выписать</w:t>
            </w:r>
          </w:p>
        </w:tc>
        <w:tc>
          <w:tcPr>
            <w:tcW w:type="dxa" w:w="2880"/>
          </w:tcPr>
          <w:p>
            <w:pPr>
              <w:keepNext w:val="0"/>
              <w:spacing w:after="60"/>
            </w:pPr>
            <w:r>
              <w:rPr>
                <w:sz w:val="20"/>
              </w:rPr>
              <w:t>Где обычно лежит</w:t>
            </w:r>
          </w:p>
        </w:tc>
        <w:tc>
          <w:tcPr>
            <w:tcW w:type="dxa" w:w="2880"/>
          </w:tcPr>
          <w:p>
            <w:pPr>
              <w:keepNext w:val="0"/>
              <w:spacing w:after="60"/>
            </w:pPr>
            <w:r>
              <w:rPr>
                <w:sz w:val="20"/>
              </w:rPr>
              <w:t>На что смотреть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keepNext w:val="0"/>
              <w:spacing w:after="60"/>
            </w:pPr>
            <w:r>
              <w:rPr>
                <w:sz w:val="20"/>
              </w:rPr>
              <w:t>Размер: процент или твёрдая сумма</w:t>
            </w:r>
          </w:p>
        </w:tc>
        <w:tc>
          <w:tcPr>
            <w:tcW w:type="dxa" w:w="2880"/>
          </w:tcPr>
          <w:p>
            <w:pPr>
              <w:keepNext w:val="0"/>
              <w:spacing w:after="60"/>
            </w:pPr>
            <w:r>
              <w:rPr>
                <w:sz w:val="20"/>
              </w:rPr>
              <w:t>Раздел о цене договора, раздел о порядке расчётов</w:t>
            </w:r>
          </w:p>
        </w:tc>
        <w:tc>
          <w:tcPr>
            <w:tcW w:type="dxa" w:w="2880"/>
          </w:tcPr>
          <w:p>
            <w:pPr>
              <w:keepNext w:val="0"/>
              <w:spacing w:after="60"/>
            </w:pPr>
            <w:r>
              <w:rPr>
                <w:sz w:val="20"/>
              </w:rPr>
              <w:t>От чего считается процент — от всей цены договора, от этапа или от годового объёма. Это три разные суммы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keepNext w:val="0"/>
              <w:spacing w:after="60"/>
            </w:pPr>
            <w:r>
              <w:rPr>
                <w:sz w:val="20"/>
              </w:rPr>
              <w:t>Основание выплаты</w:t>
            </w:r>
          </w:p>
        </w:tc>
        <w:tc>
          <w:tcPr>
            <w:tcW w:type="dxa" w:w="2880"/>
          </w:tcPr>
          <w:p>
            <w:pPr>
              <w:keepNext w:val="0"/>
              <w:spacing w:after="60"/>
            </w:pPr>
            <w:r>
              <w:rPr>
                <w:sz w:val="20"/>
              </w:rPr>
              <w:t>Порядок расчётов, график финансирования</w:t>
            </w:r>
          </w:p>
        </w:tc>
        <w:tc>
          <w:tcPr>
            <w:tcW w:type="dxa" w:w="2880"/>
          </w:tcPr>
          <w:p>
            <w:pPr>
              <w:keepNext w:val="0"/>
              <w:spacing w:after="60"/>
            </w:pPr>
            <w:r>
              <w:rPr>
                <w:sz w:val="20"/>
              </w:rPr>
              <w:t>Выплачивается по факту подписания договора, по заявке, после предоставления обеспечения или после выхода на объект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keepNext w:val="0"/>
              <w:spacing w:after="60"/>
            </w:pPr>
            <w:r>
              <w:rPr>
                <w:sz w:val="20"/>
              </w:rPr>
              <w:t>Срок выплаты и от какого события он течёт</w:t>
            </w:r>
          </w:p>
        </w:tc>
        <w:tc>
          <w:tcPr>
            <w:tcW w:type="dxa" w:w="2880"/>
          </w:tcPr>
          <w:p>
            <w:pPr>
              <w:keepNext w:val="0"/>
              <w:spacing w:after="60"/>
            </w:pPr>
            <w:r>
              <w:rPr>
                <w:sz w:val="20"/>
              </w:rPr>
              <w:t>Порядок расчётов</w:t>
            </w:r>
          </w:p>
        </w:tc>
        <w:tc>
          <w:tcPr>
            <w:tcW w:type="dxa" w:w="2880"/>
          </w:tcPr>
          <w:p>
            <w:pPr>
              <w:keepNext w:val="0"/>
              <w:spacing w:after="60"/>
            </w:pPr>
            <w:r>
              <w:rPr>
                <w:sz w:val="20"/>
              </w:rPr>
              <w:t>Проверьте событие, срок, документ и зависимость выплаты от действий другой стороны. Неопределённое финансирование оставляет дату поступления денег неизвестной.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keepNext w:val="0"/>
              <w:spacing w:after="60"/>
            </w:pPr>
            <w:r>
              <w:rPr>
                <w:sz w:val="20"/>
              </w:rPr>
              <w:t>Что происходит, если аванс не выплачен</w:t>
            </w:r>
          </w:p>
        </w:tc>
        <w:tc>
          <w:tcPr>
            <w:tcW w:type="dxa" w:w="2880"/>
          </w:tcPr>
          <w:p>
            <w:pPr>
              <w:keepNext w:val="0"/>
              <w:spacing w:after="60"/>
            </w:pPr>
            <w:r>
              <w:rPr>
                <w:sz w:val="20"/>
              </w:rPr>
              <w:t>Права и обязанности сторон, порядок расчётов</w:t>
            </w:r>
          </w:p>
        </w:tc>
        <w:tc>
          <w:tcPr>
            <w:tcW w:type="dxa" w:w="2880"/>
          </w:tcPr>
          <w:p>
            <w:pPr>
              <w:keepNext w:val="0"/>
              <w:spacing w:after="60"/>
            </w:pPr>
            <w:r>
              <w:rPr>
                <w:sz w:val="20"/>
              </w:rPr>
              <w:t>Отсутствие отдельной фразы о приостановке не исключает защиту по закону. Проверьте встречность исполнения, препятствие работе, условия договора и порядок уведомления по статьям 328 и 719 ГК РФ.</w:t>
            </w:r>
          </w:p>
        </w:tc>
      </w:tr>
    </w:tbl>
    <w:p/>
    <w:p>
      <w:pPr>
        <w:pStyle w:val="Heading1"/>
        <w:keepNext/>
      </w:pPr>
      <w:r>
        <w:rPr>
          <w:color w:val="000000"/>
          <w:sz w:val="24"/>
        </w:rPr>
        <w:t>Условие 2. Порядок погашения аванса</w:t>
      </w:r>
    </w:p>
    <w:p>
      <w:r>
        <w:t>Порядок погашения определяет, какая часть стоимости принятых работ будет оплачена новым платежом, а какая покрыта ранее выданным авансом. Проверьте каждый платёж по графику: сам зачёт аванса не является второй выплатой тех же денег.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  <w:tblHeader/>
        </w:trPr>
        <w:tc>
          <w:tcPr>
            <w:tcW w:type="dxa" w:w="2880"/>
          </w:tcPr>
          <w:p>
            <w:pPr>
              <w:keepNext w:val="0"/>
              <w:spacing w:after="60"/>
            </w:pPr>
            <w:r>
              <w:rPr>
                <w:sz w:val="20"/>
              </w:rPr>
              <w:t>Порядок</w:t>
            </w:r>
          </w:p>
        </w:tc>
        <w:tc>
          <w:tcPr>
            <w:tcW w:type="dxa" w:w="2880"/>
          </w:tcPr>
          <w:p>
            <w:pPr>
              <w:keepNext w:val="0"/>
              <w:spacing w:after="60"/>
            </w:pPr>
            <w:r>
              <w:rPr>
                <w:sz w:val="20"/>
              </w:rPr>
              <w:t>Как выглядит в тексте</w:t>
            </w:r>
          </w:p>
        </w:tc>
        <w:tc>
          <w:tcPr>
            <w:tcW w:type="dxa" w:w="2880"/>
          </w:tcPr>
          <w:p>
            <w:pPr>
              <w:keepNext w:val="0"/>
              <w:spacing w:after="60"/>
            </w:pPr>
            <w:r>
              <w:rPr>
                <w:sz w:val="20"/>
              </w:rPr>
              <w:t>Что делает с деньгами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keepNext w:val="0"/>
              <w:spacing w:after="60"/>
            </w:pPr>
            <w:r>
              <w:rPr>
                <w:sz w:val="20"/>
              </w:rPr>
              <w:t>Пропорционально стоимости выполненного</w:t>
            </w:r>
          </w:p>
        </w:tc>
        <w:tc>
          <w:tcPr>
            <w:tcW w:type="dxa" w:w="2880"/>
          </w:tcPr>
          <w:p>
            <w:pPr>
              <w:keepNext w:val="0"/>
              <w:spacing w:after="60"/>
            </w:pPr>
            <w:r>
              <w:rPr>
                <w:sz w:val="20"/>
              </w:rPr>
              <w:t>«Аванс погашается пропорционально стоимости принятых работ»</w:t>
            </w:r>
          </w:p>
        </w:tc>
        <w:tc>
          <w:tcPr>
            <w:tcW w:type="dxa" w:w="2880"/>
          </w:tcPr>
          <w:p>
            <w:pPr>
              <w:keepNext w:val="0"/>
              <w:spacing w:after="60"/>
            </w:pPr>
            <w:r>
              <w:rPr>
                <w:sz w:val="20"/>
              </w:rPr>
              <w:t>Уменьшает каждый платёж на согласованную долю. Проверьте базу, округление и предел погашения остатком аванса.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keepNext w:val="0"/>
              <w:spacing w:after="60"/>
            </w:pPr>
            <w:r>
              <w:rPr>
                <w:sz w:val="20"/>
              </w:rPr>
              <w:t>Из первых платежей полностью</w:t>
            </w:r>
          </w:p>
        </w:tc>
        <w:tc>
          <w:tcPr>
            <w:tcW w:type="dxa" w:w="2880"/>
          </w:tcPr>
          <w:p>
            <w:pPr>
              <w:keepNext w:val="0"/>
              <w:spacing w:after="60"/>
            </w:pPr>
            <w:r>
              <w:rPr>
                <w:sz w:val="20"/>
              </w:rPr>
              <w:t>«Аванс удерживается из первых платежей до полного погашения»</w:t>
            </w:r>
          </w:p>
        </w:tc>
        <w:tc>
          <w:tcPr>
            <w:tcW w:type="dxa" w:w="2880"/>
          </w:tcPr>
          <w:p>
            <w:pPr>
              <w:keepNext w:val="0"/>
              <w:spacing w:after="60"/>
            </w:pPr>
            <w:r>
              <w:rPr>
                <w:sz w:val="20"/>
              </w:rPr>
              <w:t>Уменьшает первые платежи за работы. Сопоставьте их с уже полученным авансом и расходами по графику.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keepNext w:val="0"/>
              <w:spacing w:after="60"/>
            </w:pPr>
            <w:r>
              <w:rPr>
                <w:sz w:val="20"/>
              </w:rPr>
              <w:t>Из последнего платежа</w:t>
            </w:r>
          </w:p>
        </w:tc>
        <w:tc>
          <w:tcPr>
            <w:tcW w:type="dxa" w:w="2880"/>
          </w:tcPr>
          <w:p>
            <w:pPr>
              <w:keepNext w:val="0"/>
              <w:spacing w:after="60"/>
            </w:pPr>
            <w:r>
              <w:rPr>
                <w:sz w:val="20"/>
              </w:rPr>
              <w:t>«Аванс засчитывается при окончательном расчёте»</w:t>
            </w:r>
          </w:p>
        </w:tc>
        <w:tc>
          <w:tcPr>
            <w:tcW w:type="dxa" w:w="2880"/>
          </w:tcPr>
          <w:p>
            <w:pPr>
              <w:keepNext w:val="0"/>
              <w:spacing w:after="60"/>
            </w:pPr>
            <w:r>
              <w:rPr>
                <w:sz w:val="20"/>
              </w:rPr>
              <w:t>Уменьшает окончательный платёж на ранее выданную сумму. Отдельно проверьте, хватит ли поступлений к этому моменту.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keepNext w:val="0"/>
              <w:spacing w:after="60"/>
            </w:pPr>
            <w:r>
              <w:rPr>
                <w:sz w:val="20"/>
              </w:rPr>
              <w:t>Не определён вовсе</w:t>
            </w:r>
          </w:p>
        </w:tc>
        <w:tc>
          <w:tcPr>
            <w:tcW w:type="dxa" w:w="2880"/>
          </w:tcPr>
          <w:p>
            <w:pPr>
              <w:keepNext w:val="0"/>
              <w:spacing w:after="60"/>
            </w:pPr>
            <w:r>
              <w:rPr>
                <w:sz w:val="20"/>
              </w:rPr>
              <w:t>В договоре про погашение нет ни слова</w:t>
            </w:r>
          </w:p>
        </w:tc>
        <w:tc>
          <w:tcPr>
            <w:tcW w:type="dxa" w:w="2880"/>
          </w:tcPr>
          <w:p>
            <w:pPr>
              <w:keepNext w:val="0"/>
              <w:spacing w:after="60"/>
            </w:pPr>
            <w:r>
              <w:rPr>
                <w:sz w:val="20"/>
              </w:rPr>
              <w:t>Создаёт неопределённость расчётов. Попросите согласовать порядок; отсутствие пункта само по себе не означает право другой стороны определить его произвольно.</w:t>
            </w:r>
          </w:p>
        </w:tc>
      </w:tr>
    </w:tbl>
    <w:p/>
    <w:p>
      <w:pPr>
        <w:pStyle w:val="Heading1"/>
        <w:keepNext/>
      </w:pPr>
      <w:r>
        <w:rPr>
          <w:color w:val="000000"/>
          <w:sz w:val="24"/>
        </w:rPr>
        <w:t>Условие 3. Обеспечение аванса</w:t>
      </w:r>
    </w:p>
    <w:p>
      <w:r>
        <w:t>Разделяйте сумму гарантии, уплаченное вознаграждение банка и фактически заблокированное денежное покрытие. Номинал гарантии сам по себе не является расходом или изъятым остатком денег. Условия поручительства и обеспечительного платежа проверяются отдельно.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cantSplit/>
          <w:tblHeader/>
        </w:trPr>
        <w:tc>
          <w:tcPr>
            <w:tcW w:type="dxa" w:w="4320"/>
          </w:tcPr>
          <w:p>
            <w:pPr>
              <w:keepNext w:val="0"/>
              <w:spacing w:after="60"/>
            </w:pPr>
            <w:r>
              <w:rPr>
                <w:sz w:val="20"/>
              </w:rPr>
              <w:t>Что выписать</w:t>
            </w:r>
          </w:p>
        </w:tc>
        <w:tc>
          <w:tcPr>
            <w:tcW w:type="dxa" w:w="4320"/>
          </w:tcPr>
          <w:p>
            <w:pPr>
              <w:keepNext w:val="0"/>
              <w:spacing w:after="60"/>
            </w:pPr>
            <w:r>
              <w:rPr>
                <w:sz w:val="20"/>
              </w:rPr>
              <w:t>Почему это важно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keepNext w:val="0"/>
              <w:spacing w:after="60"/>
            </w:pPr>
            <w:r>
              <w:rPr>
                <w:sz w:val="20"/>
              </w:rPr>
              <w:t>Вид обеспечения</w:t>
            </w:r>
          </w:p>
        </w:tc>
        <w:tc>
          <w:tcPr>
            <w:tcW w:type="dxa" w:w="4320"/>
          </w:tcPr>
          <w:p>
            <w:pPr>
              <w:keepNext w:val="0"/>
              <w:spacing w:after="60"/>
            </w:pPr>
            <w:r>
              <w:rPr>
                <w:sz w:val="20"/>
              </w:rPr>
              <w:t>У гарантии отдельно проверяются номинал, комиссия и покрытие; у поручительства — объём ответственности; у денежного обеспечения — сумма и условия возврата.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keepNext w:val="0"/>
              <w:spacing w:after="60"/>
            </w:pPr>
            <w:r>
              <w:rPr>
                <w:sz w:val="20"/>
              </w:rPr>
              <w:t>За чей счёт предоставляется</w:t>
            </w:r>
          </w:p>
        </w:tc>
        <w:tc>
          <w:tcPr>
            <w:tcW w:type="dxa" w:w="4320"/>
          </w:tcPr>
          <w:p>
            <w:pPr>
              <w:keepNext w:val="0"/>
              <w:spacing w:after="60"/>
            </w:pPr>
            <w:r>
              <w:rPr>
                <w:sz w:val="20"/>
              </w:rPr>
              <w:t>Сверьте договор подряда и соглашение с банком: какие комиссии и продления оплачивает каждая сторона.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keepNext w:val="0"/>
              <w:spacing w:after="60"/>
            </w:pPr>
            <w:r>
              <w:rPr>
                <w:sz w:val="20"/>
              </w:rPr>
              <w:t>Срок действия и от какого события он считается</w:t>
            </w:r>
          </w:p>
        </w:tc>
        <w:tc>
          <w:tcPr>
            <w:tcW w:type="dxa" w:w="4320"/>
          </w:tcPr>
          <w:p>
            <w:pPr>
              <w:keepNext w:val="0"/>
              <w:spacing w:after="60"/>
            </w:pPr>
            <w:r>
              <w:rPr>
                <w:sz w:val="20"/>
              </w:rPr>
              <w:t>Срок действия должен быть указан в независимой гарантии. Одной фразы «до полного исполнения» недостаточно для оценки срока и стоимости; проверьте документ банка и порядок продления.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keepNext w:val="0"/>
              <w:spacing w:after="60"/>
            </w:pPr>
            <w:r>
              <w:rPr>
                <w:sz w:val="20"/>
              </w:rPr>
              <w:t>Кто и за чей счёт продлевает</w:t>
            </w:r>
          </w:p>
        </w:tc>
        <w:tc>
          <w:tcPr>
            <w:tcW w:type="dxa" w:w="4320"/>
          </w:tcPr>
          <w:p>
            <w:pPr>
              <w:keepNext w:val="0"/>
              <w:spacing w:after="60"/>
            </w:pPr>
            <w:r>
              <w:rPr>
                <w:sz w:val="20"/>
              </w:rPr>
              <w:t>Установите основания продления, срок обращения в банк и распределение расходов при переносе работ.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keepNext w:val="0"/>
              <w:spacing w:after="60"/>
            </w:pPr>
            <w:r>
              <w:rPr>
                <w:sz w:val="20"/>
              </w:rPr>
              <w:t>Условие платежа по обеспечению</w:t>
            </w:r>
          </w:p>
        </w:tc>
        <w:tc>
          <w:tcPr>
            <w:tcW w:type="dxa" w:w="4320"/>
          </w:tcPr>
          <w:p>
            <w:pPr>
              <w:keepNext w:val="0"/>
              <w:spacing w:after="60"/>
            </w:pPr>
            <w:r>
              <w:rPr>
                <w:sz w:val="20"/>
              </w:rPr>
              <w:t>Безотзывность относится к отзыву и изменению гарантии. Для платежа проверяются условия гарантии, обстоятельства и документы требования; возможны основания отказа или приостановления по закону.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keepNext w:val="0"/>
              <w:spacing w:after="60"/>
            </w:pPr>
            <w:r>
              <w:rPr>
                <w:sz w:val="20"/>
              </w:rPr>
              <w:t>Событие возврата обеспечения</w:t>
            </w:r>
          </w:p>
        </w:tc>
        <w:tc>
          <w:tcPr>
            <w:tcW w:type="dxa" w:w="4320"/>
          </w:tcPr>
          <w:p>
            <w:pPr>
              <w:keepNext w:val="0"/>
              <w:spacing w:after="60"/>
            </w:pPr>
            <w:r>
              <w:rPr>
                <w:sz w:val="20"/>
              </w:rPr>
              <w:t>Выпишите событие, подтверждающий документ и срок возврата. Если нужен акт второй стороны, уточните порядок при задержке его подписания.</w:t>
            </w:r>
          </w:p>
        </w:tc>
      </w:tr>
    </w:tbl>
    <w:p/>
    <w:p>
      <w:pPr>
        <w:pStyle w:val="Heading1"/>
        <w:keepNext/>
      </w:pPr>
      <w:r>
        <w:rPr>
          <w:color w:val="000000"/>
          <w:sz w:val="24"/>
        </w:rPr>
        <w:t>Условие 4. Возврат аванса и расторжение</w:t>
      </w:r>
    </w:p>
    <w:p>
      <w:r>
        <w:t>При остановке или прекращении договора сверьте выданный аванс, зачтённые суммы и стоимость подтверждённых работ. Основание и срок возврата, состав неотработанной части и судьба обеспечения требуют отдельной проверки.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cantSplit/>
          <w:tblHeader/>
        </w:trPr>
        <w:tc>
          <w:tcPr>
            <w:tcW w:type="dxa" w:w="4320"/>
          </w:tcPr>
          <w:p>
            <w:pPr>
              <w:keepNext w:val="0"/>
              <w:spacing w:after="60"/>
            </w:pPr>
            <w:r>
              <w:rPr>
                <w:sz w:val="20"/>
              </w:rPr>
              <w:t>Что выписать</w:t>
            </w:r>
          </w:p>
        </w:tc>
        <w:tc>
          <w:tcPr>
            <w:tcW w:type="dxa" w:w="4320"/>
          </w:tcPr>
          <w:p>
            <w:pPr>
              <w:keepNext w:val="0"/>
              <w:spacing w:after="60"/>
            </w:pPr>
            <w:r>
              <w:rPr>
                <w:sz w:val="20"/>
              </w:rPr>
              <w:t>На что смотреть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keepNext w:val="0"/>
              <w:spacing w:after="60"/>
            </w:pPr>
            <w:r>
              <w:rPr>
                <w:sz w:val="20"/>
              </w:rPr>
              <w:t>Основание требовать возврат</w:t>
            </w:r>
          </w:p>
        </w:tc>
        <w:tc>
          <w:tcPr>
            <w:tcW w:type="dxa" w:w="4320"/>
          </w:tcPr>
          <w:p>
            <w:pPr>
              <w:keepNext w:val="0"/>
              <w:spacing w:after="60"/>
            </w:pPr>
            <w:r>
              <w:rPr>
                <w:sz w:val="20"/>
              </w:rPr>
              <w:t>Требование по факту расторжения или требование в любой момент по усмотрению второй стороны. Это разные условия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keepNext w:val="0"/>
              <w:spacing w:after="60"/>
            </w:pPr>
            <w:r>
              <w:rPr>
                <w:sz w:val="20"/>
              </w:rPr>
              <w:t>Как определяется неотработанная часть</w:t>
            </w:r>
          </w:p>
        </w:tc>
        <w:tc>
          <w:tcPr>
            <w:tcW w:type="dxa" w:w="4320"/>
          </w:tcPr>
          <w:p>
            <w:pPr>
              <w:keepNext w:val="0"/>
              <w:spacing w:after="60"/>
            </w:pPr>
            <w:r>
              <w:rPr>
                <w:sz w:val="20"/>
              </w:rPr>
              <w:t>Ограничение расчёта только двусторонними актами создаёт риск спора о выполненном. Работы без подписи не обнуляются автоматически: нужны доказательства выполнения, сдачи и причин отказа.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keepNext w:val="0"/>
              <w:spacing w:after="60"/>
            </w:pPr>
            <w:r>
              <w:rPr>
                <w:sz w:val="20"/>
              </w:rPr>
              <w:t>Срок возврата</w:t>
            </w:r>
          </w:p>
        </w:tc>
        <w:tc>
          <w:tcPr>
            <w:tcW w:type="dxa" w:w="4320"/>
          </w:tcPr>
          <w:p>
            <w:pPr>
              <w:keepNext w:val="0"/>
              <w:spacing w:after="60"/>
            </w:pPr>
            <w:r>
              <w:rPr>
                <w:sz w:val="20"/>
              </w:rPr>
              <w:t>Считается от требования или от события. Короткий срок от требования не оставляет времени на расчёт и на возражения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keepNext w:val="0"/>
              <w:spacing w:after="60"/>
            </w:pPr>
            <w:r>
              <w:rPr>
                <w:sz w:val="20"/>
              </w:rPr>
              <w:t>Судьба обеспечения при споре</w:t>
            </w:r>
          </w:p>
        </w:tc>
        <w:tc>
          <w:tcPr>
            <w:tcW w:type="dxa" w:w="4320"/>
          </w:tcPr>
          <w:p>
            <w:pPr>
              <w:keepNext w:val="0"/>
              <w:spacing w:after="60"/>
            </w:pPr>
            <w:r>
              <w:rPr>
                <w:sz w:val="20"/>
              </w:rPr>
              <w:t>Сверьте требования по авансу с выплатами по обеспечению и последующими расчётами с банком. Уточните, как исключается повторное получение одной и той же суммы.</w:t>
            </w:r>
          </w:p>
        </w:tc>
      </w:tr>
    </w:tbl>
    <w:p/>
    <w:p>
      <w:pPr>
        <w:pStyle w:val="Heading1"/>
        <w:keepNext/>
      </w:pPr>
      <w:r>
        <w:rPr>
          <w:color w:val="000000"/>
          <w:sz w:val="24"/>
        </w:rPr>
        <w:t>Пятое, чего в договоре может не быть</w:t>
      </w:r>
    </w:p>
    <w:p>
      <w:r>
        <w:t>Проверьте, урегулированы ли следующие вопросы. Если условия нет, отметьте это и сопоставьте договор с применимыми нормами.</w:t>
      </w:r>
    </w:p>
    <w:p>
      <w:pPr>
        <w:pStyle w:val="ListBullet"/>
      </w:pPr>
      <w:r>
        <w:t>Порядок погашения аванса и способ отражения его зачёта в расчётах.</w:t>
      </w:r>
    </w:p>
    <w:p>
      <w:pPr>
        <w:pStyle w:val="ListBullet"/>
      </w:pPr>
      <w:r>
        <w:t>Событие и документ, по которым возвращается обеспечение.</w:t>
      </w:r>
    </w:p>
    <w:p>
      <w:pPr>
        <w:pStyle w:val="ListBullet"/>
      </w:pPr>
      <w:r>
        <w:t>Порядок уведомления при невыплате аванса и условия применения статей 328 и 719 ГК РФ.</w:t>
      </w:r>
    </w:p>
    <w:p>
      <w:pPr>
        <w:pStyle w:val="ListBullet"/>
      </w:pPr>
      <w:r>
        <w:t>Порядок продления обеспечения при сдвиге сроков не по вашей вине и за чей счёт.</w:t>
      </w:r>
    </w:p>
    <w:p>
      <w:pPr>
        <w:pStyle w:val="ListBullet"/>
      </w:pPr>
      <w:r>
        <w:t>Основания уменьшения платежа, порядок заявления зачёта встречных требований и документы для сверки расчёта.</w:t>
      </w:r>
    </w:p>
    <w:p>
      <w:pPr>
        <w:pStyle w:val="Heading1"/>
        <w:keepNext/>
      </w:pPr>
      <w:r>
        <w:rPr>
          <w:color w:val="000000"/>
          <w:sz w:val="24"/>
        </w:rPr>
        <w:t>Что делать с заполненным листом</w:t>
      </w:r>
    </w:p>
    <w:p>
      <w:pPr>
        <w:pStyle w:val="ListNumber"/>
      </w:pPr>
      <w:r>
        <w:t>Перенесите суммы в файл 02 и проверьте отдельные показатели. Для оценки кассового разрыва дополнительно нужен календарь поступлений и выплат, доступные деньги и обязательные платежи.</w:t>
      </w:r>
    </w:p>
    <w:p>
      <w:pPr>
        <w:pStyle w:val="ListNumber"/>
      </w:pPr>
      <w:r>
        <w:t>Сверьте формулировки с файлом 03 и выпишите совпадения.</w:t>
      </w:r>
    </w:p>
    <w:p>
      <w:pPr>
        <w:pStyle w:val="ListNumber"/>
      </w:pPr>
      <w:r>
        <w:t>Задайте вопросы письмом из файла 04 — до подписи и одним письмом, а не по одному в неделю.</w:t>
      </w:r>
    </w:p>
    <w:p>
      <w:pPr>
        <w:pStyle w:val="ListNumber"/>
      </w:pPr>
      <w:r>
        <w:t>Ответ сохраните. Переписка до подписи — это документ, который объясняет, как стороны понимали условие, и он бывает нужен гораздо позже.</w:t>
      </w:r>
    </w:p>
    <w:p>
      <w:pPr>
        <w:pStyle w:val="Heading1"/>
        <w:keepNext/>
      </w:pPr>
      <w:r>
        <w:rPr>
          <w:color w:val="000000"/>
          <w:sz w:val="24"/>
        </w:rPr>
        <w:t>Когда требуется разбор ситуации</w:t>
      </w:r>
    </w:p>
    <w:p>
      <w:r>
        <w:t>Юрист нужен, когда вторая сторона предъявила требование о возврате аванса, когда предъявлено требование по банковской гарантии или поручительству, когда договор расторгается любой из сторон, когда вам предлагают подписать документ, меняющий природу долга (зачёт, уступку, отступное, новацию, соглашение о переводе долга), и когда идёт спор об объёме и стоимости выполненного.</w:t>
      </w:r>
    </w:p>
    <w:p>
      <w:pPr>
        <w:pStyle w:val="Heading1"/>
        <w:keepNext/>
      </w:pPr>
      <w:r>
        <w:rPr>
          <w:color w:val="000000"/>
          <w:sz w:val="24"/>
        </w:rPr>
        <w:t>Нормативные ориентиры</w:t>
      </w:r>
    </w:p>
    <w:p>
      <w:pPr>
        <w:spacing w:after="60"/>
      </w:pPr>
      <w:hyperlink r:id="rId9">
        <w:r>
          <w:rPr>
            <w:color w:val="333333"/>
            <w:u w:val="single"/>
          </w:rPr>
          <w:t>ГК РФ статья 328 — Встречное исполнение</w:t>
        </w:r>
      </w:hyperlink>
    </w:p>
    <w:p>
      <w:pPr>
        <w:spacing w:after="60"/>
      </w:pPr>
      <w:hyperlink r:id="rId10">
        <w:r>
          <w:rPr>
            <w:color w:val="333333"/>
            <w:u w:val="single"/>
          </w:rPr>
          <w:t>ГК РФ статья 719 — Неисполнение обязанностей заказчиком</w:t>
        </w:r>
      </w:hyperlink>
    </w:p>
    <w:p>
      <w:pPr>
        <w:spacing w:after="60"/>
      </w:pPr>
      <w:hyperlink r:id="rId11">
        <w:r>
          <w:rPr>
            <w:color w:val="333333"/>
            <w:u w:val="single"/>
          </w:rPr>
          <w:t>ГК РФ статья 410 — Условия зачёта встречных требований</w:t>
        </w:r>
      </w:hyperlink>
    </w:p>
    <w:p>
      <w:pPr>
        <w:spacing w:after="60"/>
      </w:pPr>
      <w:hyperlink r:id="rId12">
        <w:r>
          <w:rPr>
            <w:color w:val="333333"/>
            <w:u w:val="single"/>
          </w:rPr>
          <w:t>ГК РФ статья 368 — Условия независимой гарантии</w:t>
        </w:r>
      </w:hyperlink>
    </w:p>
    <w:p>
      <w:pPr>
        <w:spacing w:after="60"/>
      </w:pPr>
      <w:hyperlink r:id="rId13">
        <w:r>
          <w:rPr>
            <w:color w:val="333333"/>
            <w:u w:val="single"/>
          </w:rPr>
          <w:t>ГК РФ статья 371 — Отзыв и изменение гарантии</w:t>
        </w:r>
      </w:hyperlink>
    </w:p>
    <w:p>
      <w:pPr>
        <w:spacing w:after="60"/>
      </w:pPr>
      <w:hyperlink r:id="rId14">
        <w:r>
          <w:rPr>
            <w:color w:val="333333"/>
            <w:u w:val="single"/>
          </w:rPr>
          <w:t>ГК РФ статья 374 — Предъявление требования гаранту</w:t>
        </w:r>
      </w:hyperlink>
    </w:p>
    <w:p>
      <w:pPr>
        <w:spacing w:after="60"/>
      </w:pPr>
      <w:hyperlink r:id="rId15">
        <w:r>
          <w:rPr>
            <w:color w:val="333333"/>
            <w:u w:val="single"/>
          </w:rPr>
          <w:t>ГК РФ статья 376 — Отказ и приостановление платежа гарантом</w:t>
        </w:r>
      </w:hyperlink>
    </w:p>
    <w:p>
      <w:pPr>
        <w:spacing w:after="60"/>
      </w:pPr>
      <w:hyperlink r:id="rId16">
        <w:r>
          <w:rPr>
            <w:color w:val="333333"/>
            <w:u w:val="single"/>
          </w:rPr>
          <w:t>ГК РФ статья 753 — Сдача и приёмка строительных работ</w:t>
        </w:r>
      </w:hyperlink>
    </w:p>
    <w:p>
      <w:r>
        <w:t>Сопоставьте нормы с условиями своего договора и документами по объекту. Для строительных работ без подписи второй стороны отдельно проверьте порядок сдачи, причины отказа и доказательства направления акта.</w:t>
      </w:r>
    </w:p>
    <w:p>
      <w:hyperlink r:id="rId17">
        <w:r>
          <w:rPr>
            <w:color w:val="333333"/>
            <w:u w:val="single"/>
          </w:rPr>
          <w:t>Полный комплект по авансу и расчётам</w:t>
        </w:r>
      </w:hyperlink>
    </w:p>
    <w:p>
      <w:hyperlink r:id="rId18">
        <w:r>
          <w:rPr>
            <w:color w:val="333333"/>
            <w:u w:val="single"/>
          </w:rPr>
          <w:t>На стороне подрядчика</w:t>
        </w:r>
      </w:hyperlink>
      <w:r>
        <w:t xml:space="preserve">  |  </w:t>
      </w:r>
      <w:hyperlink r:id="rId19">
        <w:r>
          <w:rPr>
            <w:color w:val="333333"/>
            <w:u w:val="single"/>
          </w:rPr>
          <w:t>Telegram</w:t>
        </w:r>
      </w:hyperlink>
    </w:p>
    <w:p>
      <w:r>
        <w:t>Вопросы по файлам: nastoronepodryadchika@yandex.ru. Редакция 23.10.2026.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consultant.ru/document/cons_doc_LAW_5142/331033e3d6e7b72213bd9903b03e29dfb9e608fe/" TargetMode="External"/><Relationship Id="rId10" Type="http://schemas.openxmlformats.org/officeDocument/2006/relationships/hyperlink" Target="https://www.consultant.ru/document/cons_doc_LAW_9027/3a590316d2440dd63f7510f9238f24357b93bf61/" TargetMode="External"/><Relationship Id="rId11" Type="http://schemas.openxmlformats.org/officeDocument/2006/relationships/hyperlink" Target="https://www.consultant.ru/document/cons_doc_LAW_5142/ce09e59d11f3a60c30a1601c0f6c7cceb9835dfa/" TargetMode="External"/><Relationship Id="rId12" Type="http://schemas.openxmlformats.org/officeDocument/2006/relationships/hyperlink" Target="https://www.consultant.ru/document/cons_doc_LAW_5142/03edc46b2ef855fddfaaa3d77dac1d071ef3dba1/" TargetMode="External"/><Relationship Id="rId13" Type="http://schemas.openxmlformats.org/officeDocument/2006/relationships/hyperlink" Target="https://www.consultant.ru/document/cons_doc_LAW_5142/57bea654bf38c3b50efbfba87ea1f53b7cd090a9/" TargetMode="External"/><Relationship Id="rId14" Type="http://schemas.openxmlformats.org/officeDocument/2006/relationships/hyperlink" Target="https://www.consultant.ru/document/cons_doc_LAW_5142/d2b4e2d6a7f878c07420796abb37fe3d5823f0e9/" TargetMode="External"/><Relationship Id="rId15" Type="http://schemas.openxmlformats.org/officeDocument/2006/relationships/hyperlink" Target="https://www.consultant.ru/document/cons_doc_LAW_5142/6a272c71c7c8b647b8b9d7eba71db4e01d901365/" TargetMode="External"/><Relationship Id="rId16" Type="http://schemas.openxmlformats.org/officeDocument/2006/relationships/hyperlink" Target="https://www.consultant.ru/document/cons_doc_LAW_9027/6b2d751a0d605616a9a1012cb7c7fbac1b6d84b3/" TargetMode="External"/><Relationship Id="rId17" Type="http://schemas.openxmlformats.org/officeDocument/2006/relationships/hyperlink" Target="https://nastoronepodryadchika.ru/products/p8-avans-po-dogovoru-subpodryada.html" TargetMode="External"/><Relationship Id="rId18" Type="http://schemas.openxmlformats.org/officeDocument/2006/relationships/hyperlink" Target="https://nastoronepodryadchika.ru" TargetMode="External"/><Relationship Id="rId19" Type="http://schemas.openxmlformats.org/officeDocument/2006/relationships/hyperlink" Target="https://t.me/nastoronepodryadchik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 стороне подрядчика</dc:creator>
  <cp:keywords/>
  <dc:description>generated by python-docx</dc:description>
  <cp:lastModifiedBy>На стороне подрядчика</cp:lastModifiedBy>
  <cp:revision>1</cp:revision>
  <dcterms:created xsi:type="dcterms:W3CDTF">2013-12-23T23:15:00Z</dcterms:created>
  <dcterms:modified xsi:type="dcterms:W3CDTF">2013-12-23T23:15:00Z</dcterms:modified>
  <cp:category/>
</cp:coreProperties>
</file>