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color w:val="000000"/>
          <w:sz w:val="32"/>
        </w:rPr>
        <w:t>Риски условий аванса и обеспечения</w:t>
      </w:r>
    </w:p>
    <w:p/>
    <w:p>
      <w:pPr>
        <w:pStyle w:val="Heading1"/>
        <w:keepNext/>
      </w:pPr>
      <w:r>
        <w:rPr>
          <w:color w:val="000000"/>
          <w:sz w:val="24"/>
        </w:rPr>
        <w:t>Для чего нужна проверка</w:t>
      </w:r>
    </w:p>
    <w:p>
      <w:r>
        <w:t>Ниже собраны условия, которые могут менять размер и сроки платежей по объекту. Их допустимость и последствия зависят от договора, обеспечения и обстоятельств. Проверьте механизм расчёта и задайте вопросы до подписания.</w:t>
        <w:br/>
        <w:br/>
        <w:t>Вопросы из правой колонки можно включить в письмо из файла 04. Если требуется изменить условия, согласуйте новую редакцию договора или протокол разногласий.</w:t>
      </w:r>
    </w:p>
    <w:p>
      <w:pPr>
        <w:pStyle w:val="Heading1"/>
        <w:keepNext/>
      </w:pPr>
      <w:r>
        <w:rPr>
          <w:color w:val="000000"/>
          <w:sz w:val="24"/>
        </w:rPr>
        <w:t>Как пользоваться</w:t>
      </w:r>
    </w:p>
    <w:p>
      <w:r>
        <w:t>Сопоставьте смысл пунктов своего проекта с таблицами. Выпишите совпадения, номера пунктов и вопросы. Ответы сверяйте с окончательной редакцией договора.</w:t>
      </w:r>
    </w:p>
    <w:p>
      <w:pPr>
        <w:pStyle w:val="Heading1"/>
        <w:keepNext/>
      </w:pPr>
      <w:r>
        <w:rPr>
          <w:color w:val="000000"/>
          <w:sz w:val="24"/>
        </w:rPr>
        <w:t>Погашение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Формулировка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делает с деньгами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спросить до подписи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удерживается из первых платежей до полного погашения»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Первые новые платежи уменьшаются до погашения аванса. Проверьте, покрывает ли ранее полученная сумма расходы до следующего поступления.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Возможно ли пропорциональное погашение — из каждого платежа в доле аванса в цене договора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«Порядок зачёта аванса определяется Генподрядчиком»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Порядок зависит от условий предоставленного полномочия. Уточните базу, пределы и момент применения, а не только название пункта.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Каким будет порядок и можно ли записать его в договор числом или долей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Про погашение в договоре не сказано ничего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Нет согласованного механизма расчёта; это создаёт риск разных трактовок, а не безусловное право другой стороны назначить любой вычет.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Как стороны понимают порядок погашения — и попросить зафиксировать ответ в договоре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засчитывается при окончательном расчёте»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Окончательный платёж уменьшается на ранее выданный аванс. Зачёт сам по себе не требует повторно перечислить уже отработанную сумму.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произойдёт с зачётом, если окончательный расчёт задержится или работы будут остановлены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Возврат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Формулировка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делает с деньгами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спросить до подписи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подлежит возврату по требованию Генподрядчика»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Возврат не привязан к расторжению или к нарушению: требование может прийти в любой момент, в том числе когда деньги уже вложены в материалы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При наступлении каких обстоятельств возникает право требовать возврат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«Неотработанная часть определяется по подписанным актам»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Возникает риск исключения спорных работ из расчёта другой стороны. Отсутствие подписи само по себе не обнуляет стоимость; проверьте доказательства выполнения и сдачи.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Учитываются ли при расчёте акты, направленные и не подписанные, и работы, подтверждённые исполнительной документацией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«Возврат производится в течение указанного в требовании срока»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Срок назначает вторая сторона, и он может не оставить времени на расчёт и возражения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Можно ли записать в договор определённый срок возврата, одинаковый для обеих сторон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«Генподрядчик вправе удержать сумму аванса из любых причитающихся Субподрядчику сумм»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Отделите зачёт ранее выданного аванса от встречного требования о возврате и иных уменьшений оплаты. Статья 410 ГК РФ допускает зачёт заявлением одной стороны при соблюдении условий.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Каковы основания, состав сумм и документы уменьшения платежа; как направляются заявление и расчёт, если заявляется зачёт встречных требований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Обеспечение: гарантия, поручительство, платёж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Формулировка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делает с деньгами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спросить до подписи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«Обеспечение предоставляется Субподрядчиком за свой счёт»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Состав оплачиваемых комиссий и продлений нужно проверить в договоре и банковском соглашении; он не определяется одной этой фразой.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За чей счёт продлевается обеспечение, если срок работ сдвинут не по вине подрядчика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«Гарантия действует до полного исполнения обязательств»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Проверьте саму гарантию: в ней должен быть указан срок действия. Не считайте такую фразу подтверждением бессрочной действительной гарантии.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Какой срок указан в гарантии банка, как он определяется и на каких условиях продлевается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«Гарантия безотзывная, платёж по первому требованию»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Безотзывность не означает платёж по любому требованию. Проверьте документы, обстоятельства, срок предъявления и предусмотренные законом основания отказа или приостановления.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Требуется ли приложить к требованию расчёт и документы, подтверждающие основание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«Субподрядчик обязан восстановить обеспечение в случае уменьшения его размера»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Возможны дополнительные затраты на восстановление обеспечения. Их размер и условия зависят от договора, выплаты и соглашения с банком.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 какой срок и при каких условиях возникает обязанность восстановить обеспечение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«Возврат обеспечительного платежа производится после подписания акта об окончательной приёмке»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При задержке подписания акта возникает неопределённость даты возврата. Проверьте альтернативные подтверждения и порядок действий сторон.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происходит с обеспечением, если акт не подписан в названный срок и мотивированного отказа нет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«Аванс выплачивается после предоставления обеспечения»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Расходы на обеспечение вы несёте до того, как получили деньги. Само по себе условие обычное, но оно сдвигает кассу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 какой срок выплачивается аванс после предоставления обеспечения и что будет, если он не выплачен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Как сопоставить условия по объекту</w:t>
      </w:r>
    </w:p>
    <w:p>
      <w:r>
        <w:t>В файле 02 раздельно учитываются остаток аванса, удержанные и заблокированные деньги, фактические затраты, списания и непринятые работы. Эти показатели нельзя складывать в общий кассовый разрыв.</w:t>
        <w:br/>
        <w:br/>
        <w:t>Проверьте дату, основания и отсутствие повторов. Для решения о финансировании нужен календарь платежей с доступным остатком денег и предстоящими обязательными расходами.</w:t>
      </w:r>
    </w:p>
    <w:p>
      <w:pPr>
        <w:pStyle w:val="Heading1"/>
        <w:keepNext/>
      </w:pPr>
      <w:r>
        <w:rPr>
          <w:color w:val="000000"/>
          <w:sz w:val="24"/>
        </w:rPr>
        <w:t>Когда требуется разбор ситуации</w:t>
      </w:r>
    </w:p>
    <w:p>
      <w: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  <w:keepNext/>
      </w:pPr>
      <w:r>
        <w:rPr>
          <w:color w:val="000000"/>
          <w:sz w:val="24"/>
        </w:rPr>
        <w:t>Нормативные ориентиры</w:t>
      </w:r>
    </w:p>
    <w:p>
      <w:pPr>
        <w:spacing w:after="60"/>
      </w:pPr>
      <w:hyperlink r:id="rId9">
        <w:r>
          <w:rPr>
            <w:color w:val="333333"/>
            <w:u w:val="single"/>
          </w:rPr>
          <w:t>ГК РФ статья 410 — Условия зачёта встречных требований</w:t>
        </w:r>
      </w:hyperlink>
    </w:p>
    <w:p>
      <w:pPr>
        <w:spacing w:after="60"/>
      </w:pPr>
      <w:hyperlink r:id="rId10">
        <w:r>
          <w:rPr>
            <w:color w:val="333333"/>
            <w:u w:val="single"/>
          </w:rPr>
          <w:t>ГК РФ статья 368 — Условия независимой гарантии</w:t>
        </w:r>
      </w:hyperlink>
    </w:p>
    <w:p>
      <w:pPr>
        <w:spacing w:after="60"/>
      </w:pPr>
      <w:hyperlink r:id="rId11">
        <w:r>
          <w:rPr>
            <w:color w:val="333333"/>
            <w:u w:val="single"/>
          </w:rPr>
          <w:t>ГК РФ статья 371 — Отзыв и изменение гарантии</w:t>
        </w:r>
      </w:hyperlink>
    </w:p>
    <w:p>
      <w:pPr>
        <w:spacing w:after="60"/>
      </w:pPr>
      <w:hyperlink r:id="rId12">
        <w:r>
          <w:rPr>
            <w:color w:val="333333"/>
            <w:u w:val="single"/>
          </w:rPr>
          <w:t>ГК РФ статья 374 — Предъявление требования гаранту</w:t>
        </w:r>
      </w:hyperlink>
    </w:p>
    <w:p>
      <w:pPr>
        <w:spacing w:after="60"/>
      </w:pPr>
      <w:hyperlink r:id="rId13">
        <w:r>
          <w:rPr>
            <w:color w:val="333333"/>
            <w:u w:val="single"/>
          </w:rPr>
          <w:t>ГК РФ статья 376 — Отказ и приостановление платежа гарантом</w:t>
        </w:r>
      </w:hyperlink>
    </w:p>
    <w:p>
      <w:pPr>
        <w:spacing w:after="60"/>
      </w:pPr>
      <w:hyperlink r:id="rId14">
        <w:r>
          <w:rPr>
            <w:color w:val="333333"/>
            <w:u w:val="single"/>
          </w:rPr>
          <w:t>ГК РФ статья 753 — Сдача и приёмка строительных работ</w:t>
        </w:r>
      </w:hyperlink>
    </w:p>
    <w:p>
      <w:r>
        <w:t>Сопоставьте нормы с условиями своего договора и документами по объекту. Для строительных работ без подписи второй стороны отдельно проверьте порядок сдачи, причины отказа и доказательства направления акта.</w:t>
      </w:r>
    </w:p>
    <w:p>
      <w:hyperlink r:id="rId15">
        <w:r>
          <w:rPr>
            <w:color w:val="333333"/>
            <w:u w:val="single"/>
          </w:rPr>
          <w:t>Полный комплект по авансу и расчётам</w:t>
        </w:r>
      </w:hyperlink>
    </w:p>
    <w:p>
      <w:hyperlink r:id="rId16">
        <w:r>
          <w:rPr>
            <w:color w:val="333333"/>
            <w:u w:val="single"/>
          </w:rPr>
          <w:t>На стороне подрядчика</w:t>
        </w:r>
      </w:hyperlink>
      <w:r>
        <w:t xml:space="preserve">  |  </w:t>
      </w:r>
      <w:hyperlink r:id="rId17">
        <w:r>
          <w:rPr>
            <w:color w:val="333333"/>
            <w:u w:val="single"/>
          </w:rPr>
          <w:t>Telegram</w:t>
        </w:r>
      </w:hyperlink>
    </w:p>
    <w:p>
      <w:r>
        <w:t>Вопросы по файлам: nastoronepodryadchika@yandex.ru. Редакция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ce09e59d11f3a60c30a1601c0f6c7cceb9835dfa/" TargetMode="External"/><Relationship Id="rId10" Type="http://schemas.openxmlformats.org/officeDocument/2006/relationships/hyperlink" Target="https://www.consultant.ru/document/cons_doc_LAW_5142/03edc46b2ef855fddfaaa3d77dac1d071ef3dba1/" TargetMode="External"/><Relationship Id="rId11" Type="http://schemas.openxmlformats.org/officeDocument/2006/relationships/hyperlink" Target="https://www.consultant.ru/document/cons_doc_LAW_5142/57bea654bf38c3b50efbfba87ea1f53b7cd090a9/" TargetMode="External"/><Relationship Id="rId12" Type="http://schemas.openxmlformats.org/officeDocument/2006/relationships/hyperlink" Target="https://www.consultant.ru/document/cons_doc_LAW_5142/d2b4e2d6a7f878c07420796abb37fe3d5823f0e9/" TargetMode="External"/><Relationship Id="rId13" Type="http://schemas.openxmlformats.org/officeDocument/2006/relationships/hyperlink" Target="https://www.consultant.ru/document/cons_doc_LAW_5142/6a272c71c7c8b647b8b9d7eba71db4e01d901365/" TargetMode="External"/><Relationship Id="rId14" Type="http://schemas.openxmlformats.org/officeDocument/2006/relationships/hyperlink" Target="https://www.consultant.ru/document/cons_doc_LAW_9027/6b2d751a0d605616a9a1012cb7c7fbac1b6d84b3/" TargetMode="External"/><Relationship Id="rId15" Type="http://schemas.openxmlformats.org/officeDocument/2006/relationships/hyperlink" Target="https://nastoronepodryadchika.ru/products/p8-avans-po-dogovoru-subpodryada.html" TargetMode="External"/><Relationship Id="rId16" Type="http://schemas.openxmlformats.org/officeDocument/2006/relationships/hyperlink" Target="https://nastoronepodryadchika.ru" TargetMode="External"/><Relationship Id="rId17" Type="http://schemas.openxmlformats.org/officeDocument/2006/relationships/hyperlink" Target="https://t.me/nastoronepodryadch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