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{{НАИМЕНОВАНИЕ_ЦЕДЕНТА_ИЛИ_ЗАСТРОЙЩИКА}}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widowControl/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подтверждении оплаты по договору участия</w:t>
      </w:r>
    </w:p>
    <w:p>
      <w:pPr>
        <w:widowControl/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предложением об уступке нам прав по договору участия в долевом строительстве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{{НОМЕР_ДДУ}}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{{ДАТА_ДДУ}}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в отношении объекта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{{ОПИСАНИЕ_ОБЪЕКТА_ДОЛЕВОГО_СТРОИТЕЛЬСТВА}}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до подписания договора уступки предоставить: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Справку (выписку) банка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{{НАИМЕНОВАНИЕ_БАНКА_ЕСЛИ_ИЗВЕСТЕН}}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об открытии счёта эскроу по указанному договору и о поступлении на него денежных средств в размере цены договора.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Сведения о том, в полном ли объёме исполнена обязанность участника долевого строительства по уплате цены договора; если в части — в каком размере.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Проект уступки: условия перехода долга по ДДУ, цена уступки и расчёт с цедентом. Если цедент — юридическое лицо, цена уступки оплачивается после госрегистрации соглашения (ч. 3 ст. 11 Закона № 214-ФЗ). При зачёте работ — основание и момент зачёта.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Документы просим направить в срок до {{СРОК_ОТВЕТА_НА_ЗАПРОС}} на адрес {{АДРЕС_ДЛЯ_ОТВЕТА}} либо на электронную почту {{ЭЛЕКТРОННАЯ_ПОЧТА}}.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Подтверждение оплаты цены ДДУ существенно для решения о сделке. Если цена не оплачена полностью, уступка прав по ч. 1 ст. 11 Закона № 214-ФЗ допускается одновременно с переводом долга на нового участника в порядке, установленном ГК РФ; перевод долга требует согласия кредитора (п. 2 ст. 391 ГК РФ). Просим отдельно указать размер неоплаченной цены и документы, подтверждающие условия её погашения.</w:t>
      </w:r>
    </w:p>
    <w:p>
      <w:pPr>
        <w:widowControl/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pPr>
        <w:widowControl/>
      </w:pPr>
      <w:r>
        <w:rPr>
          <w:i w:val="0"/>
          <w:color w:val="323539"/>
        </w:rPr>
      </w:r>
    </w:p>
    <w:p>
      <w:pPr>
        <w:pStyle w:val="Heading1"/>
        <w:widowControl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наполнении счёта эскроу по передаваемому ДДУ</w:t>
      </w: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>Документальное подтверждение наполнения счёта эскроу по ДДУ, права по которому предлагаются в счёт выполненных работ. Заказчику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widowControl/>
        <w:spacing w:after="80" w:line="259" w:lineRule="auto"/>
      </w:pPr>
    </w:p>
    <w:p>
      <w:pPr>
        <w:widowControl/>
        <w:spacing w:after="8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</w:t>
      </w:r>
    </w:p>
    <w:p>
      <w:pPr>
        <w:widowControl/>
        <w:pBdr>
          <w:bottom w:val="single" w:color="BFBFBF" w:sz="6" w:space="6"/>
        </w:pBdr>
        <w:spacing w:after="80" w:before="120"/>
      </w:pPr>
    </w:p>
    <w:p>
      <w:pPr>
        <w:pStyle w:val="Heading1"/>
        <w:widowControl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iCs/>
          <w:color w:val="323539"/>
          <w:sz w:val="20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Назначение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Получить документальное подтверждение того, оплачен ли ДДУ, права по которому вам предлагают в счёт работ: открыт ли счёт эскроу, в каком банке, пополнен ли на цену договора. Подтверждение — справка или выписка банка. Письмо застройщика или цедента подтверждением не является: это заявление стороны, заинтересованной в сделке.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Ответ позволяет установить, какое право предлагают передать. При подтверждённом поступлении полной цены ДДУ на эскроу по ч. 3 ст. 15.4 Закона № 214-ФЗ проверяйте условия уступки оплаченного права. При неполной оплате нельзя считать обязанность доплатить автоматически перешедшей: требуется одновременный перевод долга с соблюдением требований ГК РФ, включая согласие кредитора. Сопоставьте ответ, ДДУ и проект уступки с памяткой «Читаем уступку: пункт об обязательствах по эскроу».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Сверьте оплату ДДУ по банковскому подтверждению (ч. 3 ст. 15.4 Закона № 214-ФЗ). При неполной оплате уступка требует одновременного перевода долга с соблюдением ГК РФ и согласия кредитора. Отдельно проверьте цену уступки: при цеденте — юридическом лице её уплата следует за госрегистрацией (ч. 3 ст. 11 Закона № 214-ФЗ). При зачёте работ проверьте встречные требования и момент зачёта: сам зачёт не подтверждает оплату ДДУ на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Когда применяется</w:t>
      </w:r>
    </w:p>
    <w:p>
      <w:pPr>
        <w:widowControl/>
        <w:spacing w:after="40" w:line="259" w:lineRule="auto"/>
      </w:pPr>
      <w:r>
        <w:rPr>
          <w:rFonts w:ascii="Times New Roman" w:hAnsi="Times New Roman"/>
          <w:sz w:val="20"/>
        </w:rPr>
        <w:t>Этот текст запроса применяется к уступке существующего ДДУ. При новом ДДУ до его регистрации проверяются проект, цена, банк и будущий плательщик; требование уже наполненного эскроу к этой стадии не применяется. После регистрации контролируются срок и фактическое внесение денег. Для готового объекта проверяются ЕГРН и документы передачи, а не эскроу.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Кому адресуется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Банк по договору счёта эскроу отвечает его сторонам, а не будущему приобретателю права. Поэтому запрос направляется стороне сделки: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цеденту — текущему участнику долевого строительства, чьи права вам уступают: у него как у владельца счёта есть доступ к сведениям о нём;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застройщику — как стороне ДДУ и бенефициару счёта, с требованием предоставить справку банка;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при готовности сторон — совместное обращение в банк с вашим участием либо получение справки цедентом в вашем присутствии.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Отказ предоставить банковское подтверждение оплаты до подписания уступки — основание остановить согласование сделки и запросить документы об оплате и обязательствах по ДДУ.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 xml:space="preserve">Что подставить</w:t>
      </w:r>
    </w:p>
    <w:p>
      <w:pPr>
        <w:widowControl/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По «Словарю полей» комплекта: реквизиты сторон, реквизиты ДДУ, предлагаемого к уступке,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0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 xml:space="preserve"> — разумный рабочий; законом не установлен).</w:t>
      </w:r>
    </w:p>
    <w:p>
      <w:pPr>
        <w:pStyle w:val="Heading2"/>
        <w:keepNext/>
        <w:widowControl/>
        <w:spacing w:after="6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6"/>
        </w:rPr>
        <w:t>Порядок проверки документов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Сведения о счёте запрашивайте у сторон сделки; право будущего приобретателя получить их непосредственно в банке проверяется отдельно по полномочиям и документам.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Сопоставьте банковское подтверждение с самим ДДУ и проектом уступки: цену, сроки оплаты, условия перехода прав и обязанности по оплате (см. памятку «Читаем уступку: пункт об обязательствах по эскроу»).</w:t>
      </w:r>
    </w:p>
    <w:p>
      <w:pPr>
        <w:pStyle w:val="ListParagraph"/>
        <w:widowControl/>
        <w:numPr>
          <w:ilvl w:val="0"/>
          <w:numId w:val="2"/>
        </w:numPr>
        <w:spacing w:after="4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0"/>
          <w:szCs w:val="24"/>
        </w:rPr>
        <w:t>Проверьте отдельно цену уступки и взаиморасчёты с цедентом: они не тождественны оплате цены ДДУ на счёт эскроу.</w:t>
      </w:r>
    </w:p>
    <w:p>
      <w:pPr>
        <w:keepNext/>
      </w:pPr>
      <w:r>
        <w:rPr>
          <w:rFonts w:ascii="Times New Roman" w:hAnsi="Times New Roman"/>
          <w:b/>
          <w:sz w:val="20"/>
        </w:rPr>
        <w:t>Контроль сторон и расчёта</w:t>
      </w:r>
    </w:p>
    <w:p>
      <w:pPr>
        <w:keepLines/>
      </w:pPr>
      <w:r>
        <w:rPr>
          <w:rFonts w:ascii="Times New Roman" w:hAnsi="Times New Roman"/>
          <w:sz w:val="20"/>
        </w:rPr>
        <w:t>До подписания запишите отдельно: должника за работы; цедента или застройщика; будущего участника ДДУ; лицо, вносящее остаток цены. Если это разные лица, их участие и расчёты должны иметь самостоятельное основание. Запрос банковских сведений сам по себе не прекращает долг за работы.</w:t>
      </w:r>
    </w:p>
    <w:p>
      <w:r>
        <w:rPr>
          <w:rFonts w:ascii="Times New Roman" w:hAnsi="Times New Roman"/>
          <w:sz w:val="20"/>
        </w:rPr>
        <w:t>Для нового ДДУ: подписанный проект и регистрация, затем оплата на эскроу по согласованному графику. Для уступки: зарегистрированный ДДУ, подтверждённая оплата либо одновременный перевод долга с необходимым согласием кредитора, регистрация уступки. Цена уступки и цена ДДУ учитываются раздельно. Для готового объекта: право продавца, обременения, основание передачи, регистрация перехода права и акт.</w:t>
      </w:r>
    </w:p>
    <w:p>
      <w:r>
        <w:rPr>
          <w:rFonts w:ascii="Times New Roman" w:hAnsi="Times New Roman"/>
          <w:sz w:val="20"/>
        </w:rPr>
        <w:t>В соглашении о расчётах зафиксируйте, какую часть одного долга за работы, по какому основанию и при каком подтверждённом событии погашают. Отступное по ст. 409 ГК РФ и зачёт по ст. 410 ГК РФ не взаимозаменяемы. При участии третьего лица требуется согласованная схема всех сторон.</w:t>
      </w:r>
    </w:p>
    <w:p>
      <w:r>
        <w:rPr>
          <w:rFonts w:ascii="Times New Roman" w:hAnsi="Times New Roman"/>
          <w:sz w:val="20"/>
        </w:rPr>
        <w:t xml:space="preserve">Нормы для сверки: </w:t>
      </w:r>
      <w:hyperlink r:id="rId10">
        <w:r>
          <w:t>214-ФЗ ст. 15.4 ч. 2–3</w:t>
        </w:r>
      </w:hyperlink>
      <w:r>
        <w:rPr>
          <w:rFonts w:ascii="Times New Roman" w:hAnsi="Times New Roman"/>
          <w:sz w:val="20"/>
        </w:rPr>
        <w:t xml:space="preserve">; </w:t>
      </w:r>
      <w:hyperlink r:id="rId11">
        <w:r>
          <w:t>214-ФЗ ст. 15.5 ч. 4</w:t>
        </w:r>
      </w:hyperlink>
      <w:r>
        <w:rPr>
          <w:rFonts w:ascii="Times New Roman" w:hAnsi="Times New Roman"/>
          <w:sz w:val="20"/>
        </w:rPr>
        <w:t xml:space="preserve">; </w:t>
      </w:r>
      <w:hyperlink r:id="rId12">
        <w:r>
          <w:t>ГК РФ ст. 409</w:t>
        </w:r>
      </w:hyperlink>
      <w:r>
        <w:rPr>
          <w:rFonts w:ascii="Times New Roman" w:hAnsi="Times New Roman"/>
          <w:sz w:val="20"/>
        </w:rPr>
        <w:t xml:space="preserve">; </w:t>
      </w:r>
      <w:hyperlink r:id="rId13">
        <w:r>
          <w:t>ГК РФ ст. 410</w:t>
        </w:r>
      </w:hyperlink>
      <w:r>
        <w:rPr>
          <w:rFonts w:ascii="Times New Roman" w:hAnsi="Times New Roman"/>
          <w:sz w:val="20"/>
        </w:rPr>
        <w:t xml:space="preserve">; </w:t>
      </w:r>
    </w:p>
    <w:p>
      <w:r>
        <w:rPr>
          <w:rFonts w:ascii="Times New Roman" w:hAnsi="Times New Roman"/>
          <w:sz w:val="20"/>
        </w:rPr>
        <w:t>Поддержка: nastoronepodryadchika@yandex.ru. В теме укажите SKU и файл, в сообщении - страницу либо лист/ячейку, пример ввода и ожидаемый результат. Сообщите об ошибке, приложив копию без конфиденциальных данных.</w:t>
      </w:r>
    </w:p>
    <w:p>
      <w:r>
        <w:rPr>
          <w:rFonts w:ascii="Times New Roman" w:hAnsi="Times New Roman"/>
          <w:sz w:val="20"/>
        </w:rPr>
        <w:t xml:space="preserve">Связанный маршрут при риске банкротства: </w:t>
      </w:r>
      <w:hyperlink r:id="rId14">
        <w:r>
          <w:t>P9 - защита требований</w:t>
        </w:r>
      </w:hyperlink>
    </w:p>
    <w:sectPr>
      <w:headerReference w:type="default" r:id="rId8"/>
      <w:footerReference w:type="default" r:id="rId9"/>
      <w:pgSz w:w="11906" w:h="16838" w:orient="portrait"/>
      <w:pgMar w:top="760" w:right="850" w:bottom="76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yperlink" Target="https://www.consultant.ru/document/cons_doc_LAW_51038/57da6efc7ca337d428cf526d01e70925ce5bdcb0/" TargetMode="External"/><Relationship Id="rId11" Type="http://schemas.openxmlformats.org/officeDocument/2006/relationships/hyperlink" Target="https://www.consultant.ru/document/cons_doc_LAW_51038/7e20edcc51ba599c70fb328204e3ac1226e7d912/" TargetMode="External"/><Relationship Id="rId12" Type="http://schemas.openxmlformats.org/officeDocument/2006/relationships/hyperlink" Target="https://www.consultant.ru/document/cons_doc_LAW_5142/8226847de7f2eeb92a5dc53e6289e35d1c74e4c2/" TargetMode="External"/><Relationship Id="rId13" Type="http://schemas.openxmlformats.org/officeDocument/2006/relationships/hyperlink" Target="https://www.consultant.ru/document/cons_doc_LAW_5142/ce09e59d11f3a60c30a1601c0f6c7cceb9835dfa/" TargetMode="External"/><Relationship Id="rId14" Type="http://schemas.openxmlformats.org/officeDocument/2006/relationships/hyperlink" Target="https://nastoronepodryadchika.ru/products/p9-bankrotstvo-genpodryadchika.htm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2026-08-09T07:33:35.170Z</dcterms:created>
  <dcterms:modified xsi:type="dcterms:W3CDTF">2026-08-09T07:33:35.170Z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