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Кому: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{{НАИМЕНОВАНИЕ_ЗАКАЗЧИКА}}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ИНН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{{ИНН_ЗАКАЗЧИКА}}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, ОГРН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{{ОГРН_ЗАКАЗЧИКА}}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Адрес: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{{АДРЕС_ЗАКАЗЧИКА}}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От: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{{НАИМЕНОВАНИЕ_ПОДРЯДЧИКА}}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ИНН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{{ИНН_ПОДРЯДЧИКА}}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, ОГРН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{{ОГРН_ПОДРЯДЧИКА}}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Адрес: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{{АДРЕС_ПОДРЯДЧИКА}}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Исх. №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{{ИСХОДЯЩИЙ_НОМЕР}}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 от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{{ДАТА_ДОКУМЕНТА}}</w:t>
      </w:r>
    </w:p>
    <w:p>
      <w:pPr>
        <w:spacing w:after="60" w:line="276"/>
        <w:jc w:val="center"/>
      </w:pPr>
      <w:r>
        <w:rPr>
          <w:rFonts w:ascii="Arial" w:cs="Times New Roman" w:eastAsia="Times New Roman" w:hAnsi="Arial"/>
          <w:b/>
          <w:bCs/>
          <w:color w:val="262F37"/>
          <w:sz w:val="21"/>
          <w:szCs w:val="24"/>
        </w:rPr>
        <w:t xml:space="preserve">ПРЕТЕНЗИЯ</w:t>
      </w:r>
    </w:p>
    <w:p>
      <w:pPr>
        <w:spacing w:after="60" w:line="276"/>
        <w:jc w:val="center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(досудебное требование об оплате выполненных работ)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Между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{{НАИМЕНОВАНИЕ_ЗАКАЗЧИКА}}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 (далее — Заказчик) и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{{НАИМЕНОВАНИЕ_ПОДРЯДЧИКА}}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 (далее — Подрядчик) заключён договор №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{{НОМЕР_ДОГОВОРА}}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 от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{{ДАТА_ДОГОВОРА}}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 (далее — Договор), по которому Подрядчик обязался выполнить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{{ПРЕДМЕТ_ДОГОВОРА}}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 на объекте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{{ОБЪЕКТ}}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, а Заказчик — принять результат работ и оплатить его.</w:t>
      </w:r>
    </w:p>
    <w:p>
      <w:pPr>
        <w:keepNext/>
        <w:spacing w:after="60" w:line="276"/>
      </w:pPr>
      <w:r>
        <w:rPr>
          <w:rFonts w:ascii="Arial" w:cs="Times New Roman" w:eastAsia="Times New Roman" w:hAnsi="Arial"/>
          <w:b/>
          <w:bCs/>
          <w:color w:val="262F37"/>
          <w:sz w:val="21"/>
          <w:szCs w:val="24"/>
        </w:rPr>
        <w:t xml:space="preserve">1. Работы выполнены и приняты.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Подрядчик выполнил работы, что подтверждается актом о приёмке выполненных работ (форма КС-2) №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{{НОМЕР_КС2}}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 от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{{ДАТА_КС2}}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 и справкой о стоимости выполненных работ и затрат (форма КС-3) №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{{НОМЕР_КС3}}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 от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{{ДАТА_КС3}}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, подписанными обеими сторонами без замечаний. Стоимость принятых работ составляет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{{СУММА_ПО_АКТУ}}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.</w:t>
      </w:r>
    </w:p>
    <w:p>
      <w:pPr>
        <w:spacing w:after="60" w:line="276"/>
      </w:pPr>
      <w:r>
        <w:rPr>
          <w:rFonts w:ascii="Arial" w:cs="Times New Roman" w:eastAsia="Times New Roman" w:hAnsi="Arial"/>
          <w:b w:val="false"/>
          <w:bCs w:val="false"/>
          <w:i/>
          <w:iCs/>
          <w:color w:val="262F37"/>
          <w:sz w:val="21"/>
          <w:szCs w:val="24"/>
        </w:rPr>
        <w:t xml:space="preserve">[Если актов несколько — перечислить каждый: номер, дата, сумма. Реестр актов допустимо вынести в приложение.]</w:t>
      </w:r>
    </w:p>
    <w:p>
      <w:pPr>
        <w:keepNext/>
        <w:spacing w:after="60" w:line="276"/>
      </w:pPr>
      <w:r>
        <w:rPr>
          <w:rFonts w:ascii="Arial" w:cs="Times New Roman" w:eastAsia="Times New Roman" w:hAnsi="Arial"/>
          <w:b/>
          <w:bCs/>
          <w:color w:val="262F37"/>
          <w:sz w:val="21"/>
          <w:szCs w:val="24"/>
        </w:rPr>
        <w:t xml:space="preserve">2. Обязанность оплаты наступила и нарушена.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Согласно п.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{{ПУНКТ_ДОГОВОРА_ОБ_ОПЛАТЕ}}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 Договора оплата производится в срок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{{СРОК_ОПЛАТЫ_ПО_ДОГОВОРУ}}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. Срок оплаты истёк; с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{{ДАТА_НАЧАЛА_ПРОСРОЧКИ}}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 Заказчик находится в просрочке.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С учётом частичных оплат </w:t>
      </w:r>
      <w:r>
        <w:rPr>
          <w:rFonts w:ascii="Arial" w:cs="Times New Roman" w:eastAsia="Times New Roman" w:hAnsi="Arial"/>
          <w:b w:val="false"/>
          <w:bCs w:val="false"/>
          <w:i/>
          <w:iCs/>
          <w:color w:val="262F37"/>
          <w:sz w:val="21"/>
          <w:szCs w:val="24"/>
        </w:rPr>
        <w:t xml:space="preserve">[если были — перечислить: дата, сумма, платёжное поручение; если не было — абзац удалить]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 задолженность Заказчика на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{{ДАТА_ДОКУМЕНТА}}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 составляет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{{СУММА_ДОЛГА}}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.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В силу ст. 309, 310 Гражданского кодекса РФ обязательства должны исполняться надлежащим образом; односторонний отказ от исполнения не допускается. Обязанность заказчика оплатить принятые работы установлена ст. 711 и ст. 746 Гражданского кодекса РФ и Договором.</w:t>
      </w:r>
    </w:p>
    <w:p>
      <w:pPr>
        <w:keepNext/>
        <w:spacing w:after="60" w:line="276"/>
      </w:pPr>
      <w:r>
        <w:rPr>
          <w:rFonts w:ascii="Arial" w:cs="Times New Roman" w:eastAsia="Times New Roman" w:hAnsi="Arial"/>
          <w:b/>
          <w:bCs/>
          <w:color w:val="262F37"/>
          <w:sz w:val="21"/>
          <w:szCs w:val="24"/>
        </w:rPr>
        <w:t xml:space="preserve">3. На сумму долга начисляются проценты.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На основании ст. 395 Гражданского кодекса РФ за пользование чужими денежными средствами подлежат уплате проценты, размер которых определяется ключевой ставкой Банка России, действовавшей в соответствующие периоды, если иной размер процентов не установлен законом или договором. По состоянию на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{{ДАТА_ДОКУМЕНТА}}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 проценты составляют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{{СУММА_ПРОЦЕНТОВ}}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 (расчёт — Приложение № 2). Проценты продолжают начисляться по день фактической оплаты, если законом, иными правовыми актами или договором не установлен более короткий срок их начисления.</w:t>
      </w:r>
    </w:p>
    <w:p>
      <w:pPr>
        <w:spacing w:after="60" w:line="276"/>
      </w:pPr>
      <w:r>
        <w:rPr>
          <w:rFonts w:ascii="Arial" w:cs="Times New Roman" w:eastAsia="Times New Roman" w:hAnsi="Arial"/>
          <w:b w:val="false"/>
          <w:bCs w:val="false"/>
          <w:i/>
          <w:iCs/>
          <w:color w:val="262F37"/>
          <w:sz w:val="21"/>
          <w:szCs w:val="24"/>
        </w:rPr>
        <w:t xml:space="preserve">[Если Договором установлена неустойка за просрочку оплаты (п. {{ПУНКТ_ДОГОВОРА_О_НЕУСТОЙКЕ}}) — заявлять неустойку по договору вместо процентов по ст. 395 ГК РФ: когда соглашением сторон предусмотрена неустойка за неисполнение или ненадлежащее исполнение денежного обязательства, предусмотренные ст. 395 ГК РФ проценты не подлежат взысканию, если иное не предусмотрено законом или договором (п. 4 ст. 395 ГК РФ). Выбор требования сделайте по условиям конкретного договора и расчёту.]</w:t>
      </w:r>
    </w:p>
    <w:p>
      <w:pPr>
        <w:keepNext/>
        <w:spacing w:after="60" w:line="276"/>
      </w:pPr>
      <w:r>
        <w:rPr>
          <w:rFonts w:ascii="Arial" w:cs="Times New Roman" w:eastAsia="Times New Roman" w:hAnsi="Arial"/>
          <w:b/>
          <w:bCs/>
          <w:color w:val="262F37"/>
          <w:sz w:val="21"/>
          <w:szCs w:val="24"/>
        </w:rPr>
        <w:t xml:space="preserve">4. Требование.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На основании изложенного требуем в срок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{{СРОК_ОТВЕТА_НА_ПРЕТЕНЗИЮ}}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 с момента получения настоящей претензии: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1) оплатить задолженность в размере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{{СУММА_ДОЛГА}}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;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2) уплатить проценты по ст. 395 ГК РФ </w:t>
      </w:r>
      <w:r>
        <w:rPr>
          <w:rFonts w:ascii="Arial" w:cs="Times New Roman" w:eastAsia="Times New Roman" w:hAnsi="Arial"/>
          <w:b w:val="false"/>
          <w:bCs w:val="false"/>
          <w:i/>
          <w:iCs/>
          <w:color w:val="262F37"/>
          <w:sz w:val="21"/>
          <w:szCs w:val="24"/>
        </w:rPr>
        <w:t xml:space="preserve">[либо неустойку по п. {{ПУНКТ_ДОГОВОРА_О_НЕУСТОЙКЕ}} Договора]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, рассчитанные на дату платежа.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Реквизиты для перечисления: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{{БАНКОВСКИЕ_РЕКВИЗИТЫ_ПОДРЯДЧИКА}}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.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При неисполнении настоящего требования в указанный срок Подрядчик обратится в арбитражный суд с иском о взыскании задолженности, процентов (неустойки), а также судебных расходов, включая государственную пошлину и расходы на представителя (ст. 110 АПК РФ).</w:t>
      </w:r>
    </w:p>
    <w:p>
      <w:pPr>
        <w:spacing w:after="60" w:line="276"/>
      </w:pPr>
      <w:r>
        <w:rPr>
          <w:rFonts w:ascii="Arial" w:cs="Times New Roman" w:eastAsia="Times New Roman" w:hAnsi="Arial"/>
          <w:b/>
          <w:bCs/>
          <w:color w:val="262F37"/>
          <w:sz w:val="21"/>
          <w:szCs w:val="24"/>
        </w:rPr>
        <w:t xml:space="preserve">Приложения: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1. Копии акта КС-2 №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{{НОМЕР_КС2}}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 от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{{ДАТА_КС2}}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 и справки КС-3 №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{{НОМЕР_КС3}}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 от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{{ДАТА_КС3}}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.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2. Расчёт процентов по ст. 395 ГК РФ на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{{ДАТА_ДОКУМЕНТА}}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.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3. </w:t>
      </w:r>
      <w:r>
        <w:rPr>
          <w:rFonts w:ascii="Arial" w:cs="Times New Roman" w:eastAsia="Times New Roman" w:hAnsi="Arial"/>
          <w:b w:val="false"/>
          <w:bCs w:val="false"/>
          <w:i/>
          <w:iCs/>
          <w:color w:val="262F37"/>
          <w:sz w:val="21"/>
          <w:szCs w:val="24"/>
        </w:rPr>
        <w:t xml:space="preserve">[Акт сверки взаимных расчётов — при наличии.]</w:t>
      </w:r>
    </w:p>
    <w:p>
      <w:pPr>
        <w:spacing w:after="60" w:line="276"/>
      </w:pP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{{ДОЛЖНОСТЬ_ПОДПИСАНТА}}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,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{{ОСНОВАНИЕ_ПОЛНОМОЧИЙ}}</w:t>
      </w:r>
    </w:p>
    <w:p>
      <w:pPr>
        <w:spacing w:after="60" w:line="276"/>
      </w:pP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_________________ /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62F37"/>
          <w:sz w:val="21"/>
          <w:szCs w:val="24"/>
        </w:rPr>
        <w:t xml:space="preserve">{{ФИО_ПОДПИСАНТА}}</w:t>
      </w:r>
      <w:r>
        <w:rPr>
          <w:rFonts w:ascii="Arial" w:cs="Times New Roman" w:eastAsia="Times New Roman" w:hAnsi="Arial"/>
          <w:color w:val="262F37"/>
          <w:sz w:val="21"/>
          <w:szCs w:val="24"/>
        </w:rPr>
        <w:t xml:space="preserve"> /</w:t>
      </w:r>
    </w:p>
    <w:sectPr>
      <w:headerReference w:type="default" r:id="rId8"/>
      <w:footerReference w:type="default" r:id="rId9"/>
      <w:pgSz w:w="11906" w:h="16838" w:orient="portrait"/>
      <w:pgMar w:top="964" w:right="1020" w:bottom="964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pPr>
      <w:spacing w:after="180"/>
    </w:pPr>
    <w:rPr>
      <w:rFonts w:ascii="Arial" w:hAnsi="Arial"/>
      <w:b/>
      <w:color w:val="000000"/>
      <w:sz w:val="34"/>
      <w:szCs w:val="56"/>
    </w:rPr>
  </w:style>
  <w:style w:type="paragraph" w:styleId="Heading1">
    <w:name w:val="Heading 1"/>
    <w:basedOn w:val="Normal"/>
    <w:next w:val="Normal"/>
    <w:qFormat/>
    <w:rPr>
      <w:rFonts w:ascii="Arial" w:hAnsi="Arial"/>
      <w:color w:val="34383B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Arial" w:hAnsi="Arial"/>
      <w:color w:val="34383B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Arial" w:hAnsi="Arial"/>
      <w:color w:val="34383B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Arial" w:hAnsi="Arial"/>
      <w:i/>
      <w:iCs/>
      <w:color w:val="34383B"/>
    </w:rPr>
  </w:style>
  <w:style w:type="paragraph" w:styleId="Heading5">
    <w:name w:val="Heading 5"/>
    <w:basedOn w:val="Normal"/>
    <w:next w:val="Normal"/>
    <w:qFormat/>
    <w:rPr>
      <w:rFonts w:ascii="Arial" w:hAnsi="Arial"/>
      <w:color w:val="34383B"/>
    </w:rPr>
  </w:style>
  <w:style w:type="paragraph" w:styleId="Heading6">
    <w:name w:val="Heading 6"/>
    <w:basedOn w:val="Normal"/>
    <w:next w:val="Normal"/>
    <w:qFormat/>
    <w:rPr>
      <w:rFonts w:ascii="Arial" w:hAnsi="Arial"/>
      <w:color w:val="34383B"/>
    </w:rPr>
  </w:style>
  <w:style w:type="paragraph" w:styleId="Strong">
    <w:name w:val="Strong"/>
    <w:basedOn w:val="Normal"/>
    <w:next w:val="Normal"/>
    <w:qFormat/>
    <w:rPr>
      <w:rFonts w:ascii="Arial" w:hAnsi="Arial"/>
      <w:b/>
      <w:bCs/>
    </w:rPr>
  </w:style>
  <w:style w:type="paragraph" w:styleId="ListParagraph">
    <w:name w:val="List Paragraph"/>
    <w:basedOn w:val="Normal"/>
    <w:qFormat/>
    <w:rPr>
      <w:rFonts w:ascii="Arial" w:hAnsi="Arial"/>
    </w:rPr>
  </w:style>
  <w:style w:type="character" w:styleId="Hyperlink">
    <w:name w:val="Hyperlink"/>
    <w:basedOn w:val="DefaultParagraphFont"/>
    <w:uiPriority w:val="99"/>
    <w:unhideWhenUsed/>
    <w:rPr>
      <w:rFonts w:ascii="Arial" w:hAnsi="Arial"/>
      <w:color w:val="34383B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rFonts w:ascii="Arial" w:hAnsi="Arial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rFonts w:ascii="Arial" w:hAnsi="Arial"/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rFonts w:ascii="Arial" w:hAnsi="Arial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rFonts w:ascii="Arial" w:hAnsi="Arial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rFonts w:ascii="Arial" w:hAnsi="Arial"/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rFonts w:ascii="Arial" w:hAnsi="Arial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2026-10-08T17:02:01.920Z</dcterms:created>
  <dcterms:modified xsi:type="dcterms:W3CDTF">2026-10-08T17:02:01.920Z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