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AE8031"/>
          <w:sz w:val="32"/>
        </w:rPr>
        <w:t>КОНТРОЛЬ БЛОКИРОВКИ ПРИЁМКИ И ОПЛАТЫ</w:t>
      </w:r>
    </w:p>
    <w:p>
      <w:r>
        <w:rPr>
          <w:rFonts w:ascii="Arial" w:hAnsi="Arial"/>
          <w:b/>
          <w:sz w:val="22"/>
        </w:rPr>
        <w:t>Срок и содержание замечаний</w:t>
      </w:r>
    </w:p>
    <w:p>
      <w:r>
        <w:rPr>
          <w:rFonts w:ascii="Arial" w:hAnsi="Arial"/>
        </w:rPr>
        <w:t>Сверьте дату получения, договорный срок рассмотрения и каждую позицию с согласованным перечнем ИД. Поздний ответ сам по себе не решает вопрос о качестве или оплате.</w:t>
      </w:r>
    </w:p>
    <w:p>
      <w:r>
        <w:rPr>
          <w:rFonts w:ascii="Arial" w:hAnsi="Arial"/>
          <w:b/>
          <w:sz w:val="22"/>
        </w:rPr>
        <w:t>Повторные возвраты</w:t>
      </w:r>
    </w:p>
    <w:p>
      <w:r>
        <w:rPr>
          <w:rFonts w:ascii="Arial" w:hAnsi="Arial"/>
        </w:rPr>
        <w:t>Сохраните версии, входящие номера и результат исправления. Потребуйте единый перечень оставшихся замечаний с документальными основаниями.</w:t>
      </w:r>
    </w:p>
    <w:p>
      <w:r>
        <w:rPr>
          <w:rFonts w:ascii="Arial" w:hAnsi="Arial"/>
          <w:b/>
          <w:sz w:val="22"/>
        </w:rPr>
        <w:t>Новые документы</w:t>
      </w:r>
    </w:p>
    <w:p>
      <w:r>
        <w:rPr>
          <w:rFonts w:ascii="Arial" w:hAnsi="Arial"/>
        </w:rPr>
        <w:t>Сопоставьте требование с проектом, договором и обязательными требованиями. Новое условие оформите согласованным изменением, если оно действительно меняет состав обязательств.</w:t>
      </w:r>
    </w:p>
    <w:p>
      <w:r>
        <w:rPr>
          <w:rFonts w:ascii="Arial" w:hAnsi="Arial"/>
          <w:b/>
          <w:sz w:val="22"/>
        </w:rPr>
        <w:t>Неподписанная передача</w:t>
      </w:r>
    </w:p>
    <w:p>
      <w:r>
        <w:rPr>
          <w:rFonts w:ascii="Arial" w:hAnsi="Arial"/>
        </w:rPr>
        <w:t>Подтвердите отправку и получение описи, комплект и полномочия получателя. Зафиксируйте отсутствие ответа и действуйте по согласованному порядку приёмки.</w:t>
      </w:r>
    </w:p>
    <w:p>
      <w:r>
        <w:rPr>
          <w:rFonts w:ascii="Arial" w:hAnsi="Arial"/>
          <w:b/>
          <w:sz w:val="22"/>
        </w:rPr>
        <w:t>Оплаченные и спорные работы</w:t>
      </w:r>
    </w:p>
    <w:p>
      <w:r>
        <w:rPr>
          <w:rFonts w:ascii="Arial" w:hAnsi="Arial"/>
        </w:rPr>
        <w:t>Разделите принятый объём, новые требования и возможные недостатки; проверьте договорные гарантийные обязательства и основания удержания оплаты по конкретному этапу.</w:t>
      </w:r>
    </w:p>
    <w:p>
      <w:r>
        <w:rPr>
          <w:rFonts w:ascii="Arial" w:hAnsi="Arial"/>
          <w:b/>
          <w:sz w:val="22"/>
        </w:rPr>
        <w:t>Решение</w:t>
      </w:r>
    </w:p>
    <w:p>
      <w:r>
        <w:rPr>
          <w:rFonts w:ascii="Arial" w:hAnsi="Arial"/>
        </w:rPr>
        <w:t>Подготовьте ответ по файлу 04, расчёт просроченной оплаты и отдельное требование об оплате при наличии основания. Перед обращением в суд проверьте претензионный порядок и доказательства направления.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AE8031"/>
        <w:sz w:val="15"/>
      </w:rPr>
      <w:t>НА СТОРОНЕ ПОДРЯДЧИКА  /  P4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