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Контроль состояния генподрядчика</w:t>
      </w:r>
    </w:p>
    <w:p>
      <w:r>
        <w:rPr>
          <w:b/>
          <w:color w:val="AE8031"/>
          <w:sz w:val="22"/>
        </w:rPr>
        <w:t>Публичные источники</w:t>
      </w:r>
    </w:p>
    <w:p>
      <w:r>
        <w:t>Проверяйте ЕФРСБ по ИНН, карточку дел kad.arbitr.ru, официальную публикацию по делу, исполнительные производства и сведения ЕГРЮЛ. Фиксируйте дату проверки, URL/номер сообщения и копию материала.</w:t>
      </w:r>
    </w:p>
    <w:p>
      <w:r>
        <w:rPr>
          <w:b/>
          <w:color w:val="AE8031"/>
          <w:sz w:val="22"/>
        </w:rPr>
        <w:t>Внутренние признаки</w:t>
      </w:r>
    </w:p>
    <w:p>
      <w:r>
        <w:t>Задержки оплаты на нескольких объектах, дробление платежей, отказ подтвердить график расчётов, смена реквизитов, остановка работ, неподписание актов. Каждый признак требует проверки конкретного контрагента и документов, а не самостоятельного вывода о введённой процедуре.</w:t>
      </w:r>
    </w:p>
    <w:p>
      <w:r>
        <w:rPr>
          <w:b/>
          <w:color w:val="AE8031"/>
          <w:sz w:val="22"/>
        </w:rPr>
        <w:t>При обнаружении дела</w:t>
      </w:r>
    </w:p>
    <w:p>
      <w:r>
        <w:t>Запишите номер, суд, дату принятия заявления, процедуру, дату официальной публикации и контакты управляющего. Откройте реестр 04; соберите акты и платежи; проверьте срок заявления по применимой норме.</w:t>
      </w:r>
    </w:p>
    <w:p>
      <w:r>
        <w:rPr>
          <w:b/>
          <w:color w:val="AE8031"/>
          <w:sz w:val="22"/>
        </w:rPr>
        <w:t>Контрольный журнал</w:t>
      </w:r>
    </w:p>
    <w:p>
      <w:r>
        <w:t>ИНН {{...}}; дата проверки {{...}}; источник {{...}}; судебное дело {{...}}; следующий контроль {{...}}; ответственный {{...}}.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