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AE8031"/>
          <w:sz w:val="32"/>
        </w:rPr>
        <w:t>Если срок заявления требования предполагается пропущенным</w:t>
      </w:r>
    </w:p>
    <w:p>
      <w:r>
        <w:rPr>
          <w:b/>
          <w:color w:val="AE8031"/>
          <w:sz w:val="22"/>
        </w:rPr>
        <w:t>Пересчитайте срок</w:t>
      </w:r>
    </w:p>
    <w:p>
      <w:r>
        <w:t>1. Сверьте ИНН, дело, процедуру и публикацию. Разделите дату судебного акта, ЕФРСБ и дату официального опубликования по применимой норме.</w:t>
      </w:r>
    </w:p>
    <w:p>
      <w:r>
        <w:t>2. Проверьте дату окончания срока и порядок исчисления по ст. 71, 100 или 142 Закона № 127-ФЗ в редакции, применимой к делу. Для наблюдения отдельно оцените срок участия в первом собрании; для конкурсного производства — закрытие реестра и возможные специальные обстоятельства.</w:t>
      </w:r>
    </w:p>
    <w:p>
      <w:r>
        <w:t>3. Не делайте вывод о судьбе требования только по пометке календаря: проверьте изменение процедуры, характер требования и дату возникновения обязательства по ст. 5.</w:t>
      </w:r>
    </w:p>
    <w:p>
      <w:r>
        <w:rPr>
          <w:b/>
          <w:color w:val="AE8031"/>
          <w:sz w:val="22"/>
        </w:rPr>
        <w:t>Документы для решения</w:t>
      </w:r>
    </w:p>
    <w:p>
      <w:r>
        <w:t>4. Соберите договор, акты, доказательства сдачи и оплаты, публикацию, судебные акты, расчёт срока и переписку. Проверьте поручительство, гарантию и иное обеспечение отдельными документами.</w:t>
      </w:r>
    </w:p>
    <w:p>
      <w:r>
        <w:t>5. Зафиксируйте дату обнаружения ошибки и передайте полный пакет для определения доступного процессуального действия. Уведомление управляющему и письмо контрагенту не заменяют обращение в суд.</w:t>
      </w:r>
    </w:p>
    <w:p>
      <w:r>
        <w:rPr>
          <w:b/>
          <w:color w:val="AE8031"/>
          <w:sz w:val="22"/>
        </w:rPr>
        <w:t>Контроль</w:t>
      </w:r>
    </w:p>
    <w:p>
      <w:r>
        <w:t>Ответственный {{...}}; дата публикации {{...}}; расчёт предельной даты {{...}}; источник нормы {{...}}; дата передачи пакета {{...}}.</w:t>
      </w:r>
    </w:p>
    <w:sectPr w:rsidR="00FC693F" w:rsidRPr="0006063C" w:rsidSect="00034616">
      <w:footerReference w:type="default" r:id="rId9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AE8031"/>
        <w:sz w:val="16"/>
      </w:rPr>
      <w:t>НА СТОРОНЕ ПОДРЯДЧИКА  /  P9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2B323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