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Алгоритм действий: от проверки документов до суда</w:t>
      </w:r>
    </w:p>
    <w:p>
      <w:r>
        <w:rPr>
          <w:i/>
        </w:rPr>
        <w:t>Файл 03. Каждый шаг закрывается инструментом и подтверждением. Не переходите к следующему шагу, пока подтверждение не получено.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Маршруты по ситуациям</w:t>
      </w:r>
    </w:p>
    <w:p>
      <w:r>
        <w:rPr>
          <w:b w:val="0"/>
          <w:i w:val="0"/>
        </w:rPr>
        <w:t>Выберите ситуацию в файле 01, таблица 1, и идите по её пути. Основной путь при просроченной оплате — шаги 6–12 после проверки G: система рассчитана на работы, которые заказчик уже принял. Если работы не приняты, система не подходит — что сделать, сказано в последней строке таблицы.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814"/>
        <w:gridCol w:w="4195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</w:pPr>
            <w:r/>
            <w:r>
              <w:rPr>
                <w:b/>
              </w:rPr>
              <w:t>Ситуация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b/>
              </w:rPr>
              <w:t>Стартовый шаг</w:t>
            </w:r>
          </w:p>
        </w:tc>
        <w:tc>
          <w:tcPr>
            <w:tcW w:type="dxa" w:w="4195"/>
          </w:tcPr>
          <w:p>
            <w:pPr>
              <w:keepNext/>
            </w:pPr>
            <w:r/>
            <w:r>
              <w:rPr>
                <w:b/>
              </w:rPr>
              <w:t>Путь (шаги)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t>А. Оплата просрочена, долг подтверждён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t>Б. Оплата просрочена, взаиморасчёты не сверены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t>В. Оплата просрочена, заказчик прислал гарантийное письмо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rPr>
          <w:cantSplit/>
        </w:trPr>
        <w:tc>
          <w:tcPr>
            <w:tcW w:type="dxa" w:w="2608"/>
          </w:tcPr>
          <w:p>
            <w:r>
              <w:t>Работы не приняты — эта система не подходит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4195"/>
          </w:tcPr>
          <w:p>
            <w:r>
              <w:t>Что сделать: 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</w:tbl>
    <w:p/>
    <w:p>
      <w:pPr>
        <w:pStyle w:val="Heading1"/>
      </w:pPr>
      <w:r>
        <w:t>Проверка G: можно ли переходить к задолженности</w:t>
      </w:r>
    </w:p>
    <w:p>
      <w:r>
        <w:rPr>
          <w:b w:val="0"/>
          <w:i w:val="0"/>
        </w:rPr>
        <w:t>Единственный вход в маршрут задолженности (шаги 6–12). Все условия должны быть выполнены и подтверждены документами:</w:t>
      </w:r>
    </w:p>
    <w:p>
      <w:pPr>
        <w:pStyle w:val="ListNumber"/>
      </w:pPr>
      <w:r>
        <w:t>Работы приняты заказчиком: акт (КС-2/КС-3 или акт, названный в договоре) подписан обеими сторонами либо приёмка подтверждена другим документом, который признаёт договор.</w:t>
      </w:r>
    </w:p>
    <w:p>
      <w:pPr>
        <w:pStyle w:val="ListNumber"/>
      </w:pPr>
      <w:r>
        <w:t>По этим работам нет незакрытых замечаний и нет мотивированного отказа.</w:t>
      </w:r>
    </w:p>
    <w:p>
      <w:pPr>
        <w:pStyle w:val="ListNumber"/>
      </w:pPr>
      <w:r>
        <w:t>Наступило событие, от которого договор считает срок оплаты, и срок истёк: сегодня — не раньше следующего дня после последнего дня срока.</w:t>
      </w:r>
    </w:p>
    <w:p>
      <w:r>
        <w:rPr>
          <w:b w:val="0"/>
          <w:i w:val="0"/>
        </w:rPr>
        <w:t>Все три условия выполнены и подтверждаются документами — шаг 6 (ситуации А, Б, В).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669"/>
      </w:tblGrid>
      <w:tr>
        <w:trPr>
          <w:cantSplit/>
          <w:tblHeader/>
        </w:trPr>
        <w:tc>
          <w:tcPr>
            <w:tcW w:type="dxa" w:w="2948"/>
          </w:tcPr>
          <w:p>
            <w:pPr>
              <w:keepNext/>
            </w:pPr>
            <w:r/>
            <w:r>
              <w:rPr>
                <w:b/>
              </w:rPr>
              <w:t>Условие не выполнено</w:t>
            </w:r>
          </w:p>
        </w:tc>
        <w:tc>
          <w:tcPr>
            <w:tcW w:type="dxa" w:w="5669"/>
          </w:tcPr>
          <w:p>
            <w:pPr>
              <w:keepNext/>
            </w:pPr>
            <w:r/>
            <w:r>
              <w:rPr>
                <w:b/>
              </w:rPr>
              <w:t>Следующий шаг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t>Работы не приняты: акт не подписан обеими сторонами, есть незакрытые замечания, заказчик не подписывает и не отвечает</w:t>
            </w:r>
          </w:p>
        </w:tc>
        <w:tc>
          <w:tcPr>
            <w:tcW w:type="dxa" w:w="5669"/>
          </w:tcPr>
          <w:p>
            <w:r>
              <w:t>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t>Мотивированный отказ, спор о подписи или объёмах</w:t>
            </w:r>
          </w:p>
        </w:tc>
        <w:tc>
          <w:tcPr>
            <w:tcW w:type="dxa" w:w="5669"/>
          </w:tcPr>
          <w:p>
            <w:r>
              <w:t>Граница B4: файл 01, таблица 2.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t>Срок оплаты не наступил или договор его не определяет</w:t>
            </w:r>
          </w:p>
        </w:tc>
        <w:tc>
          <w:tcPr>
            <w:tcW w:type="dxa" w:w="5669"/>
          </w:tcPr>
          <w:p>
            <w:r>
              <w:t>Ждите следующего дня после срока. Если договор срок не определяет — дату начала просрочки определите со специалистом.</w:t>
            </w:r>
          </w:p>
        </w:tc>
      </w:tr>
    </w:tbl>
    <w:p/>
    <w:p>
      <w:pPr>
        <w:pStyle w:val="Heading1"/>
      </w:pPr>
      <w:r>
        <w:t>Схема маршрута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74"/>
        <w:gridCol w:w="1247"/>
        <w:gridCol w:w="2551"/>
        <w:gridCol w:w="1474"/>
        <w:gridCol w:w="1134"/>
      </w:tblGrid>
      <w:tr>
        <w:trPr>
          <w:cantSplit/>
          <w:tblHeader/>
        </w:trPr>
        <w:tc>
          <w:tcPr>
            <w:tcW w:type="dxa" w:w="737"/>
          </w:tcPr>
          <w:p>
            <w:pPr>
              <w:keepNext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Шаг</w:t>
            </w:r>
          </w:p>
        </w:tc>
        <w:tc>
          <w:tcPr>
            <w:tcW w:type="dxa" w:w="1474"/>
          </w:tcPr>
          <w:p>
            <w:pPr>
              <w:keepNext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Что делаем</w:t>
            </w:r>
          </w:p>
        </w:tc>
        <w:tc>
          <w:tcPr>
            <w:tcW w:type="dxa" w:w="1247"/>
          </w:tcPr>
          <w:p>
            <w:pPr>
              <w:keepNext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Инструмент</w:t>
            </w:r>
          </w:p>
        </w:tc>
        <w:tc>
          <w:tcPr>
            <w:tcW w:type="dxa" w:w="2551"/>
          </w:tcPr>
          <w:p>
            <w:pPr>
              <w:keepNext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Подтверждение выполнения</w:t>
            </w:r>
          </w:p>
        </w:tc>
        <w:tc>
          <w:tcPr>
            <w:tcW w:type="dxa" w:w="1474"/>
          </w:tcPr>
          <w:p>
            <w:pPr>
              <w:keepNext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Следующий шаг</w:t>
            </w:r>
          </w:p>
        </w:tc>
        <w:tc>
          <w:tcPr>
            <w:tcW w:type="dxa" w:w="1134"/>
          </w:tcPr>
          <w:p>
            <w:pPr>
              <w:keepNext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Ситуации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Выбрать исходную ситуацию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00, файл 01, файл 03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01, таблица 1, выбрана одна ситуация, и её стартовый шаг известен. Отвечать на вопросы детальной проверки (файл 02) для этого не нужно.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все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Детальная проверка — по желанию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по желанию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Зафиксировать задолженность и дату начала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04, 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рассчитаны общий долг, спорная и бесспорная части, бесспорная часть больше нуля; если строка «Граница» называет B2 или B5, спорная часть передана специалисту по описи (файл 10, раздел В); на листе «Долг по актам» у каждого акта указан свой последний день срока оплаты и посчитан бесспорный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Переговоры после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05, 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Уведомление о просрочке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06, файл 07,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Уведомление направлено способом из файла 07; отправка внесена в файл 04, лист «Реестр передачи», с доказательством.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Расчёт долга и процентов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08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08 на листе «Акты» по каждому акту перенесены из файла 04 (лист «Долг по актам») бесспорный долг на первый день просрочки, дата начала просрочки и текущий бесспорный остаток для сверки; спорная часть в расчёт не внесена;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Претензия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09, файл 08, файл 07,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Контроль ответа и выбор следующего шага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02, лист «Контроль ответа», по реакции заказчика показан следующий шаг.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rPr>
          <w:cantSplit/>
        </w:trPr>
        <w:tc>
          <w:tcPr>
            <w:tcW w:type="dxa" w:w="737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Подготовить обращение в арбитражный суд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10, файл 08,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Проверочный лист готовности иска (файл 10, раздел А) пройден. Подаёте сами — приложения к иску собраны по файлу 04, «Реестр приложений» (колонка «К иску», строка «Нужно к иску, но нет» = 0), иск подан. Передаёте специалисту — заполнена опись для специалиста (файл 10, раздел В), и пакет передан.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завершение маршрута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</w:tbl>
    <w:p/>
    <w:p>
      <w:pPr>
        <w:pStyle w:val="Heading2"/>
      </w:pPr>
      <w:r>
        <w:t>Шаг 0. Выбрать исходную ситуацию</w:t>
      </w:r>
    </w:p>
    <w:p>
      <w:r>
        <w:rPr>
          <w:b w:val="0"/>
          <w:i w:val="0"/>
        </w:rPr>
        <w:t>Инструменты: 00-START-HERE.txt — С чего начать: подходит ли система, выбор ситуации, первый шаг; 01-karta-situacii-i-granic.docx — Ситуации А, Б, В, проверка G, выход «работы не приняты», границы и когда к юристу; 03-algoritm-dejstviy.docx — Алгоритм: проверка G и шаги 6–12, развилки, подтверждение и следующий шаг</w:t>
      </w:r>
    </w:p>
    <w:p>
      <w:r>
        <w:rPr>
          <w:b w:val="0"/>
          <w:i w:val="0"/>
        </w:rPr>
        <w:t>Подтверждение выполнения: В файле 01, таблица 1, выбрана одна ситуация, и её стартовый шаг известен. Отвечать на вопросы детальной проверки (файл 02) для этого не нужно.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Работы не приняты — эта система не подходит: что сделать, сказано в файле 01, таблица 1, последняя строка.</w:t>
      </w:r>
    </w:p>
    <w:p>
      <w:pPr>
        <w:pStyle w:val="ListBullet"/>
      </w:pPr>
      <w:r>
        <w:t>Есть признаки границы B1–B5 — действуйте по строке границы в файле 01, таблица 2; по системе дальше идёт только бесспорная часть.</w:t>
      </w:r>
    </w:p>
    <w:p>
      <w:pPr>
        <w:pStyle w:val="ListBullet"/>
      </w:pPr>
      <w:r>
        <w:t>Не уверены, какая ситуация ваша, — по желанию пройдите детальную проверку (шаг 1, файл 02) и вернитесь к таблице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1. Детальная проверка — по желанию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Шаг по желанию: не входит ни в один путь и не обязателен для выбора ситуации.</w:t>
      </w:r>
    </w:p>
    <w:p>
      <w:r>
        <w:rPr>
          <w:b w:val="0"/>
          <w:i w:val="0"/>
        </w:rPr>
        <w:t>Подтверждение выполнения: 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Итог называет границу B1–B5 — файл 01, таблица 2.</w:t>
      </w:r>
    </w:p>
    <w:p>
      <w:pPr>
        <w:pStyle w:val="ListBullet"/>
      </w:pPr>
      <w:r>
        <w:t>Итог «Работы не приняты» — эта система не подходит: что сделать, показано в строке «Следующий шаг».</w:t>
      </w:r>
    </w:p>
    <w:p>
      <w:pPr>
        <w:pStyle w:val="ListBullet"/>
      </w:pPr>
      <w:r>
        <w:t>Итог называет шаг — начните с него; он совпадает со стартовым шагом одной из ситуаций таблицы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6. Зафиксировать задолженность и дату начала просрочки</w:t>
      </w:r>
    </w:p>
    <w:p>
      <w:r>
        <w:rPr>
          <w:b w:val="0"/>
          <w:i w:val="0"/>
        </w:rPr>
        <w:t>Инструменты: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рассчитаны общий долг, спорная и бесспорная части, бесспорная часть больше нуля; если строка «Граница» называет B2 или B5, спорная часть передана специалисту по описи (файл 10, раздел В); на листе «Долг по актам» у каждого акта указан свой последний день срока оплаты и посчитан бесспорный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</w:r>
    </w:p>
    <w:p>
      <w:r>
        <w:rPr>
          <w:b w:val="0"/>
          <w:i w:val="0"/>
        </w:rPr>
        <w:t>Следующий шаг: шаг 7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Взаиморасчёты ещё не подтверждены (авансы, частичные оплаты, нет акта сверки) — заполните реестр взаиморасчётов, распечатайте акт сверки (файл 04, лист «Акт сверки») и направьте заказчику; его ответ отметьте в файле 02, лист «Контроль ответа».</w:t>
      </w:r>
    </w:p>
    <w:p>
      <w:pPr>
        <w:pStyle w:val="ListBullet"/>
      </w:pPr>
      <w:r>
        <w:t>Есть операции «Удержание», «Зачёт встречного требования», «Неустойка заявлена» — граница B2 для спорной части; бесспорная часть идёт дальше.</w:t>
      </w:r>
    </w:p>
    <w:p>
      <w:pPr>
        <w:pStyle w:val="ListBullet"/>
      </w:pPr>
      <w:r>
        <w:t>В сумме долга есть допработы без соглашения — граница B5 для этой части (файл 01, таблица 2): операция «Допработы без соглашения (спорно)» в файле 04; бесспорная часть идёт дальше.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B5 — Допработы без соглашения. Что делать — файл 01, таблица 2.</w:t>
      </w:r>
    </w:p>
    <w:p>
      <w:pPr>
        <w:pStyle w:val="Heading2"/>
      </w:pPr>
      <w:r>
        <w:t>Шаг 7. Переговоры после просрочки</w:t>
      </w:r>
    </w:p>
    <w:p>
      <w:r>
        <w:rPr>
          <w:b w:val="0"/>
          <w:i w:val="0"/>
        </w:rPr>
        <w:t>Инструменты: 05-peregovory-i-perenos-sroka.docx — Протокол переговоров, соглашение о переносе срока оплаты, учёт гарантийного письма;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</w:r>
    </w:p>
    <w:p>
      <w:r>
        <w:rPr>
          <w:b w:val="0"/>
          <w:i w:val="0"/>
        </w:rPr>
        <w:t>Следующий шаг: шаг 8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Договорились о переносе — только двустороннее соглашение; гарантийное письмо заказчика соглашение не заменяет. Новую дату внести в файл 02 и ждать её.</w:t>
      </w:r>
    </w:p>
    <w:p>
      <w:pPr>
        <w:pStyle w:val="ListBullet"/>
      </w:pPr>
      <w:r>
        <w:t>Заказчик прислал гарантийное письмо без соглашения (файл 05, раздел В). Срок оплаты не перенесён: просрочка и проценты считаются от договорного срока. Письмо внесите в файл 04, «Реестр приложений», строка «Гарантийное письмо заказчика»; предложите соглашение (файл 05, раздел Б). Маршрут не останавливайте: пока дата из письма не прошла — следующий шаг вашего пути; дата прошла без оплаты — сразу шаг 9, без уведомления; если претензия уже направлена — по истечении срока ожидания шаг 12.</w:t>
      </w:r>
    </w:p>
    <w:p>
      <w:pPr>
        <w:pStyle w:val="ListBullet"/>
      </w:pPr>
      <w:r>
        <w:t>Согласились оплатить в названную дату без переноса — контроль даты, при срыве сразу шаг 9.</w:t>
      </w:r>
    </w:p>
    <w:p>
      <w:pPr>
        <w:pStyle w:val="ListBullet"/>
      </w:pPr>
      <w:r>
        <w:t>Не договорились, ответа нет или переговоров не было — шаг 8.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заказчика. Что делать — файл 01, таблица 2.</w:t>
      </w:r>
    </w:p>
    <w:p>
      <w:pPr>
        <w:pStyle w:val="Heading2"/>
      </w:pPr>
      <w:r>
        <w:t>Шаг 8. Уведомление о просрочке</w:t>
      </w:r>
    </w:p>
    <w:p>
      <w:r>
        <w:rPr>
          <w:b w:val="0"/>
          <w:i w:val="0"/>
        </w:rPr>
        <w:t>Инструменты: 06-uvedomlenie-o-prosrochke.docx — Уведомление о просрочке оплаты; 07-otpravka-i-dokazatelstvo.docx — Как направить уведомление, претензию и иск и сохранить доказательство направления;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Уведомление направлено способом из файла 07; отправка внесена в файл 04, лист «Реестр передачи», с доказательством.</w:t>
      </w:r>
    </w:p>
    <w:p>
      <w:r>
        <w:rPr>
          <w:b w:val="0"/>
          <w:i w:val="0"/>
        </w:rPr>
        <w:t>Следующий шаг: шаг 9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Оплата поступила полностью — внести в реестр взаиморасчётов, маршрут завершён.</w:t>
      </w:r>
    </w:p>
    <w:p>
      <w:pPr>
        <w:pStyle w:val="ListBullet"/>
      </w:pPr>
      <w:r>
        <w:t>Оплата частичная — внести в реестр взаиморасчётов и в расчёт процентов, продолжить со шага 9.</w:t>
      </w:r>
    </w:p>
    <w:p>
      <w:r>
        <w:rPr>
          <w:b w:val="0"/>
          <w:i w:val="0"/>
        </w:rPr>
        <w:t>Уведомление (файл 06) — первое письменное требование после просрочки. Короче претензии; может направляться до неё. Если в письме есть основание, сумма, срок и последствия — суд может оценить его и как претензию, но надёжнее пройти шаг 10.</w:t>
      </w:r>
    </w:p>
    <w:p>
      <w:r>
        <w:rPr>
          <w:b w:val="0"/>
          <w:i w:val="0"/>
        </w:rPr>
        <w:t>Файл 06 — готовое письмо заказчику: в нём только реквизиты сторон, текст, таблица актов, приложение и подпись. Пояснений в письме нет: раздел «Важно, прочитайте до использования» и примечание о редакции-кандидате в начале этого файла относятся и к файлу 06 — прочитайте их до отправки.</w:t>
      </w:r>
    </w:p>
    <w:p>
      <w:r>
        <w:rPr>
          <w:b/>
          <w:i w:val="0"/>
        </w:rPr>
        <w:t>Как заполнить письмо</w:t>
      </w:r>
    </w:p>
    <w:p>
      <w:pPr>
        <w:pStyle w:val="ListBullet"/>
      </w:pPr>
      <w:r>
        <w:t>Таблица актов (строки 1–12 файла 06) — по одной строке на акт с листа «Долг по актам» файла 04 (строки 5–34): № и дата акта — колонка C, последний день срока оплаты — колонка D.</w:t>
      </w:r>
    </w:p>
    <w:p>
      <w:pPr>
        <w:pStyle w:val="ListBullet"/>
      </w:pPr>
      <w:r>
        <w:t>Замените все поля в двойных фигурных скобках; перед печатью в письме не должно остаться ни одного поля.</w:t>
      </w:r>
    </w:p>
    <w:p>
      <w:r>
        <w:rPr>
          <w:b/>
          <w:i w:val="0"/>
        </w:rPr>
        <w:t>Как подготовить приложение</w:t>
      </w:r>
    </w:p>
    <w:p>
      <w:r>
        <w:rPr>
          <w:b w:val="0"/>
          <w:i w:val="0"/>
        </w:rPr>
        <w:t>Приложение — лист «Взаиморасчёты» файла 04, только заполненные строки. Перед печатью или экспортом проверьте предпросмотр: даты и суммы должны быть видны целиком. Если вместо даты показаны ###, расширьте столбец «Дата» в рабочей копии. Выделите шапку таблицы (строка 4) и строки с операциями (с 5-й, колонки A–J), затем напечатайте или сохраните в PDF только выделенное: в Calc — «Файл → Экспорт в PDF → Выделение», в Excel — «Печать → Напечатать выделенный фрагмент». Свод справа (колонки L–M) прикладывать не нужно. Если таблица занимает несколько страниц, в рабочей копии задайте повтор строки 4 с шапкой на каждой странице и проверьте результат в предпросмотре.</w:t>
      </w:r>
    </w:p>
    <w:p>
      <w:r>
        <w:rPr>
          <w:b/>
          <w:i w:val="0"/>
        </w:rPr>
        <w:t>После отправки</w:t>
      </w:r>
    </w:p>
    <w:p>
      <w:pPr>
        <w:pStyle w:val="ListBullet"/>
      </w:pPr>
      <w:r>
        <w:t>Направьте способом из файла 07; строка в файле 04, лист «Реестр передачи», с доказательством.</w:t>
      </w:r>
    </w:p>
    <w:p>
      <w:pPr>
        <w:pStyle w:val="ListBullet"/>
      </w:pPr>
      <w:r>
        <w:t>Строка в листе «Контроль ответа» (файл 02) со сроком ответа.</w:t>
      </w:r>
    </w:p>
    <w:p>
      <w:pPr>
        <w:pStyle w:val="ListBullet"/>
      </w:pPr>
      <w:r>
        <w:t>Звонок контактному лицу; итог — письмом «по итогам разговора фиксируем…».</w:t>
      </w:r>
    </w:p>
    <w:p>
      <w:pPr>
        <w:pStyle w:val="Heading2"/>
      </w:pPr>
      <w:r>
        <w:t>Шаг 9. Расчёт долга и процентов</w:t>
      </w:r>
    </w:p>
    <w:p>
      <w:r>
        <w:rPr>
          <w:b w:val="0"/>
          <w:i w:val="0"/>
        </w:rPr>
        <w:t>Инструменты: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08 на листе «Акты» по каждому акту перенесены из файла 04 (лист «Долг по актам») бесспорный долг на первый день просрочки, дата начала просрочки и текущий бесспорный остаток для сверки; спорная часть в расчёт не внесена;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</w:r>
    </w:p>
    <w:p>
      <w:r>
        <w:rPr>
          <w:b w:val="0"/>
          <w:i w:val="0"/>
        </w:rPr>
        <w:t>Следующий шаг: шаг 10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 устанавливает неустойку за просрочку оплаты — проценты по общему правилу не взыскиваются, если иное не предусмотрено законом или договором (п. 4 ст. 395 ГК РФ). Применение расчёта процентов — только после оценки специалиста.</w:t>
      </w:r>
    </w:p>
    <w:p>
      <w:pPr>
        <w:pStyle w:val="ListBullet"/>
      </w:pPr>
      <w:r>
        <w:t>Актов несколько и сроки оплаты по ним разные — каждый акт вводится отдельной строкой со своей датой начала просрочки; объединять их в один долг с одной датой нельзя.</w:t>
      </w:r>
    </w:p>
    <w:p>
      <w:pPr>
        <w:pStyle w:val="ListBullet"/>
      </w:pPr>
      <w:r>
        <w:t>Платёж не отнесён к конкретному акту — расчёт заблокирован: распределите платёж документально, очередность зачёта система за вас не назначает.</w:t>
      </w:r>
    </w:p>
    <w:p>
      <w:pPr>
        <w:pStyle w:val="Heading2"/>
      </w:pPr>
      <w:r>
        <w:t>Шаг 10. Претензия</w:t>
      </w:r>
    </w:p>
    <w:p>
      <w:r>
        <w:rPr>
          <w:b w:val="0"/>
          <w:i w:val="0"/>
        </w:rPr>
        <w:t>Инструменты: 09-pretenziya.docx — Претензия об оплате принятых работ: бесспорный долг, проценты, приложения;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«ГОТОВ»; 07-otpravka-i-dokazatelstvo.docx — Как направить уведомление, претензию и иск и сохранить доказательство направления;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</w:r>
    </w:p>
    <w:p>
      <w:r>
        <w:rPr>
          <w:b w:val="0"/>
          <w:i w:val="0"/>
        </w:rPr>
        <w:t>Следующий шаг: шаг 11</w:t>
      </w:r>
    </w:p>
    <w:p>
      <w:pPr>
        <w:pStyle w:val="Heading2"/>
      </w:pPr>
      <w:r>
        <w:t>Шаг 11. Контроль ответа и выбор следующего шага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02, лист «Контроль ответа», по реакции заказчика показан следующий шаг.</w:t>
      </w:r>
    </w:p>
    <w:p>
      <w:r>
        <w:rPr>
          <w:b w:val="0"/>
          <w:i w:val="0"/>
        </w:rPr>
        <w:t>Следующий шаг: шаг 12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Согласие и оплата — внести оплату, маршрут завершён.</w:t>
      </w:r>
    </w:p>
    <w:p>
      <w:pPr>
        <w:pStyle w:val="ListBullet"/>
      </w:pPr>
      <w:r>
        <w:t>Согласие с графиком — двустороннее соглашение (файл 05), контроль графика.</w:t>
      </w:r>
    </w:p>
    <w:p>
      <w:pPr>
        <w:pStyle w:val="ListBullet"/>
      </w:pPr>
      <w:r>
        <w:t>Гарантийное письмо без соглашения. Срок оплаты не перенесён: просрочка и проценты считаются от договорного срока. Письмо внесите в файл 04, «Реестр приложений», строка «Гарантийное письмо заказчика»; предложите соглашение (файл 05, раздел Б). Маршрут не останавливайте: пока дата из письма не прошла — следующий шаг вашего пути; дата прошла без оплаты — сразу шаг 9, без уведомления; если претензия уже направлена — по истечении срока ожидания шаг 12.</w:t>
      </w:r>
    </w:p>
    <w:p>
      <w:pPr>
        <w:pStyle w:val="ListBullet"/>
      </w:pPr>
      <w:r>
        <w:t>Подписал акт сверки, но не оплатил — долг подтверждён, маршрут идёт дальше.</w:t>
      </w:r>
    </w:p>
    <w:p>
      <w:pPr>
        <w:pStyle w:val="ListBullet"/>
      </w:pPr>
      <w:r>
        <w:t>Молчание после срока — шаг 12.</w:t>
      </w:r>
    </w:p>
    <w:p>
      <w:pPr>
        <w:pStyle w:val="ListBullet"/>
      </w:pPr>
      <w:r>
        <w:t>Отказ без мотивов — шаг 12.</w:t>
      </w:r>
    </w:p>
    <w:p>
      <w:pPr>
        <w:pStyle w:val="ListBullet"/>
      </w:pPr>
      <w:r>
        <w:t>Возражения по сумме или акт сверки с расхождением — по причине: удержание или зачёт — граница B2, объём, качество или подпись — граница B4, допработы — граница B5. Акты, которые заказчик не оспаривает, идут дальше.</w:t>
      </w:r>
    </w:p>
    <w:p>
      <w:pPr>
        <w:pStyle w:val="ListBullet"/>
      </w:pPr>
      <w:r>
        <w:t>Отказ: работы не предусмотрены договором — граница B5.</w:t>
      </w:r>
    </w:p>
    <w:p>
      <w:pPr>
        <w:pStyle w:val="ListBullet"/>
      </w:pPr>
      <w:r>
        <w:t>Встречное требование, зачёт, удержание — граница B2.</w:t>
      </w:r>
    </w:p>
    <w:p>
      <w:pPr>
        <w:pStyle w:val="ListBullet"/>
      </w:pPr>
      <w:r>
        <w:t>Признаки банкротства — граница B3.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12. Подготовить обращение в арбитражный суд</w:t>
      </w:r>
    </w:p>
    <w:p>
      <w:r>
        <w:rPr>
          <w:b w:val="0"/>
          <w:i w:val="0"/>
        </w:rPr>
        <w:t>Инструменты: 10-obrashchenie-v-sud.docx — Подготовка обращения в арбитражный суд: проверочный лист, иск, опись для юриста;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Проверочный лист готовности иска (файл 10, раздел А) пройден. Подаёте сами — приложения к иску собраны по файлу 04, «Реестр приложений» (колонка «К иску», строка «Нужно к иску, но нет» = 0), иск подан. Передаёте специалисту — заполнена опись для специалиста (файл 10, раздел В), и пакет передан.</w:t>
      </w:r>
    </w:p>
    <w:p>
      <w:r>
        <w:rPr>
          <w:b w:val="0"/>
          <w:i w:val="0"/>
        </w:rPr>
        <w:t>Следующий шаг: завершение маршрута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Спор простой (подписанные акты, нет встречных требований) — подача самостоятельно по файлу 10.</w:t>
      </w:r>
    </w:p>
    <w:p>
      <w:pPr>
        <w:pStyle w:val="ListBullet"/>
      </w:pPr>
      <w:r>
        <w:t>Любое усложнение — передача специалисту с описью из файла 10, раздел В.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r>
        <w:rPr>
          <w:b w:val="0"/>
          <w:i w:val="0"/>
        </w:rPr>
        <w:t>Для направления ответчику и в суд подготовьте отдельную чистую копию искового заявления из файла 10, раздел Б. Сохраните файл 10 под новым именем «Исковое заявление.docx»; в этой копии удалите всё до строки «В Арбитражный суд» и всё после подписи с датой. Удаляется и заголовок «Раздел Б». Сохраните шапку суда, реквизиты сторон, текст и требования, таблицу приложений и подпись. Исходный файл 10 с проверочным листом и описью сохраните для работы. Заполните копию, сохраните её в PDF и проверьте все страницы: в отправляемом документе не должно остаться разделов А, В, Г, инструкций или полей в двойных фигурных скобках.</w:t>
      </w:r>
    </w:p>
    <w:p>
      <w:pPr>
        <w:pStyle w:val="Heading1"/>
      </w:pPr>
      <w:r>
        <w:t>Проверка заказчика — параллельно шагам 6–12</w:t>
      </w:r>
    </w:p>
    <w:p>
      <w:pPr>
        <w:pStyle w:val="ListBullet"/>
      </w:pPr>
      <w:r>
        <w:t>Картотека арбитражных дел (kad.arbitr.ru): иски к заказчику, дело о банкротстве.</w:t>
      </w:r>
    </w:p>
    <w:p>
      <w:pPr>
        <w:pStyle w:val="ListBullet"/>
      </w:pPr>
      <w:r>
        <w:t>Единый федеральный реестр сведений о банкротстве (bankrot.fedresurs.ru).</w:t>
      </w:r>
    </w:p>
    <w:p>
      <w:pPr>
        <w:pStyle w:val="ListBullet"/>
      </w:pPr>
      <w:r>
        <w:t>Единый федеральный реестр сведений о фактах деятельности юридических лиц (fedresurs.ru): сообщения кредиторов о намерении обратиться с заявлением о банкротстве.</w:t>
      </w:r>
    </w:p>
    <w:p>
      <w:pPr>
        <w:pStyle w:val="ListBullet"/>
      </w:pPr>
      <w:r>
        <w:t>Свежая выписка ЕГРЮЛ: адрес, статус ликвидации или реорганизации.</w:t>
      </w:r>
    </w:p>
    <w:p>
      <w:pPr>
        <w:pStyle w:val="ListBullet"/>
      </w:pPr>
      <w:r>
        <w:t>Повторите проверку перед претензией и перед подачей иска. Любой признак банкротства — граница B3.</w:t>
      </w:r>
    </w:p>
    <w:p>
      <w:pPr>
        <w:pStyle w:val="Heading1"/>
      </w:pPr>
      <w:r>
        <w:t>Гарантийное письмо и перенос срока</w:t>
      </w:r>
    </w:p>
    <w:p>
      <w:r>
        <w:rPr>
          <w:b w:val="0"/>
          <w:i w:val="0"/>
        </w:rPr>
        <w:t>Гарантийное письмо заказчика — его одностороннее заявление. Оно не изменяет договорный срок оплаты: изменить срок можно только соглашением сторон в той же форме, что и договор. Проценты за просрочку считаются от договорного срока, пока не подписано двустороннее соглашение. Порядок и учёт письма — файл 05, раздел В.</w:t>
      </w:r>
    </w:p>
    <w:p>
      <w:pPr>
        <w:pStyle w:val="Heading1"/>
      </w:pPr>
      <w:r>
        <w:t>Контрольная линия времени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608"/>
        <w:gridCol w:w="3175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b/>
              </w:rPr>
              <w:t>Точка</w:t>
            </w:r>
          </w:p>
        </w:tc>
        <w:tc>
          <w:tcPr>
            <w:tcW w:type="dxa" w:w="2608"/>
          </w:tcPr>
          <w:p>
            <w:pPr>
              <w:keepNext/>
            </w:pPr>
            <w:r/>
            <w:r>
              <w:rPr>
                <w:b/>
              </w:rPr>
              <w:t>Событие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b/>
              </w:rPr>
              <w:t>Где фиксируется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>
              <w:t>Последний день срока оплаты</w:t>
            </w:r>
          </w:p>
        </w:tc>
        <w:tc>
          <w:tcPr>
            <w:tcW w:type="dxa" w:w="2608"/>
          </w:tcPr>
          <w:p>
            <w:pPr>
              <w:keepNext/>
            </w:pPr>
            <w:r>
              <w:t>срок по договору или по двустороннему соглашению; по каждому акту свой</w:t>
            </w:r>
          </w:p>
        </w:tc>
        <w:tc>
          <w:tcPr>
            <w:tcW w:type="dxa" w:w="3175"/>
          </w:tcPr>
          <w:p>
            <w:pPr>
              <w:keepNext/>
            </w:pPr>
            <w:r>
              <w:t>файл 02, лист «Маршрут»; файл 04, лист «Долг по актам»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>
              <w:t>Следующий день</w:t>
            </w:r>
          </w:p>
        </w:tc>
        <w:tc>
          <w:tcPr>
            <w:tcW w:type="dxa" w:w="2608"/>
          </w:tcPr>
          <w:p>
            <w:pPr>
              <w:keepNext/>
            </w:pPr>
            <w:r>
              <w:t>первый день просрочки по этому акту</w:t>
            </w:r>
          </w:p>
        </w:tc>
        <w:tc>
          <w:tcPr>
            <w:tcW w:type="dxa" w:w="3175"/>
          </w:tcPr>
          <w:p>
            <w:pPr>
              <w:keepNext/>
            </w:pPr>
            <w:r>
              <w:t>файл 04, лист «Долг по актам»; файл 08, лист «Акты»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>
              <w:t>Назначаете вы</w:t>
            </w:r>
          </w:p>
        </w:tc>
        <w:tc>
          <w:tcPr>
            <w:tcW w:type="dxa" w:w="2608"/>
          </w:tcPr>
          <w:p>
            <w:pPr>
              <w:keepNext/>
            </w:pPr>
            <w:r>
              <w:t>переговоры и их протокол</w:t>
            </w:r>
          </w:p>
        </w:tc>
        <w:tc>
          <w:tcPr>
            <w:tcW w:type="dxa" w:w="3175"/>
          </w:tcPr>
          <w:p>
            <w:pPr>
              <w:keepNext/>
            </w:pPr>
            <w:r>
              <w:t>файл 05, раздел 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>
              <w:t>Назначаете вы</w:t>
            </w:r>
          </w:p>
        </w:tc>
        <w:tc>
          <w:tcPr>
            <w:tcW w:type="dxa" w:w="2608"/>
          </w:tcPr>
          <w:p>
            <w:pPr>
              <w:keepNext/>
            </w:pPr>
            <w:r>
              <w:t>уведомление о просрочке</w:t>
            </w:r>
          </w:p>
        </w:tc>
        <w:tc>
          <w:tcPr>
            <w:tcW w:type="dxa" w:w="3175"/>
          </w:tcPr>
          <w:p>
            <w:pPr>
              <w:keepNext/>
            </w:pPr>
            <w:r>
              <w:t>файлы 06, 07; файл 04, лист «Реестр передачи»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>
              <w:t>Назначаете вы</w:t>
            </w:r>
          </w:p>
        </w:tc>
        <w:tc>
          <w:tcPr>
            <w:tcW w:type="dxa" w:w="2608"/>
          </w:tcPr>
          <w:p>
            <w:pPr>
              <w:keepNext/>
            </w:pPr>
            <w:r>
              <w:t>претензия с расчётом</w:t>
            </w:r>
          </w:p>
        </w:tc>
        <w:tc>
          <w:tcPr>
            <w:tcW w:type="dxa" w:w="3175"/>
          </w:tcPr>
          <w:p>
            <w:pPr>
              <w:keepNext/>
            </w:pPr>
            <w:r>
              <w:t>файлы 09, 08, 07; файл 04, лист «Реестр передачи»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>
              <w:t>Срок из договора или закона, если ими установлен иной срок, а иначе — из ч. 5 ст. 4 АПК РФ, со дня направления претензии</w:t>
            </w:r>
          </w:p>
        </w:tc>
        <w:tc>
          <w:tcPr>
            <w:tcW w:type="dxa" w:w="2608"/>
          </w:tcPr>
          <w:p>
            <w:pPr>
              <w:keepNext/>
            </w:pPr>
            <w:r>
              <w:t>можно обращаться в суд</w:t>
            </w:r>
          </w:p>
        </w:tc>
        <w:tc>
          <w:tcPr>
            <w:tcW w:type="dxa" w:w="3175"/>
          </w:tcPr>
          <w:p>
            <w:pPr>
              <w:keepNext/>
            </w:pPr>
            <w:r>
              <w:t>файл 02, лист «Контроль ответа»</w:t>
            </w:r>
          </w:p>
        </w:tc>
      </w:tr>
      <w:tr>
        <w:trPr>
          <w:cantSplit/>
        </w:trPr>
        <w:tc>
          <w:tcPr>
            <w:tcW w:type="dxa" w:w="2835"/>
          </w:tcPr>
          <w:p>
            <w:r>
              <w:t>Далее</w:t>
            </w:r>
          </w:p>
        </w:tc>
        <w:tc>
          <w:tcPr>
            <w:tcW w:type="dxa" w:w="2608"/>
          </w:tcPr>
          <w:p>
            <w:r>
              <w:t>иск или передача специалисту</w:t>
            </w:r>
          </w:p>
        </w:tc>
        <w:tc>
          <w:tcPr>
            <w:tcW w:type="dxa" w:w="3175"/>
          </w:tcPr>
          <w:p>
            <w:r>
              <w:t>файл 10</w:t>
            </w:r>
          </w:p>
        </w:tc>
      </w:tr>
    </w:tbl>
    <w:p/>
    <w:p>
      <w:r>
        <w:rPr>
          <w:b w:val="0"/>
          <w:i w:val="0"/>
        </w:rPr>
        <w:t>Не затягивайте: общий срок исковой давности установлен ст. 196 ГК РФ; порядок его исчисления для вашего случая проверьте в действующей редакции или у специалиста.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действий: от проверки документов до суда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