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0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4"/>
          <w:szCs w:val="32"/>
        </w:rPr>
        <w:t xml:space="preserve">Алгоритм действий при задержке оплаты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262F37"/>
          <w:sz w:val="21"/>
          <w:szCs w:val="24"/>
        </w:rPr>
        <w:t xml:space="preserve">Пошаговый порядок после просрочки оплаты: от первой проверки до следующего обоснованного действия.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Результат применения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раздел Б помогает собрать доказательства передачи и выполненного объёма.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Как работать с маршрутом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 каждом шаге указаны документ, срок и следующая развилка. Сверяйте данные с договором и актами; при споре об объёме, зачёте или банкротстве соберите доказательства и выберите применимый порядок действий.</w:t>
      </w:r>
    </w:p>
    <w:p>
      <w:pPr>
        <w:pStyle w:val="Heading1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Инструмент: соберите договор с приложениями, подписанные акты и документы о частичных оплатах (платёжные поручения, банковские выписки). По файлу 11 «Как заполнять: словарь полей» проверьте источники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: срок оплаты берётся из договора, остаток долга — за вычетом подтверждённых оплат. Для расчёта процентов отдельно определите долг на начало периода и последующие частичные оплаты; текущий остаток не подставляйте вместо первоначальной базы. Внешний бесплатный комплект для этого шага не требуется.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1. Уведомление о просрочке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Письменно зафиксировать просрочку и потребовать оплату — файл «Уведомление о просрочке оплаты». Назначьте срок исполнения требования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Письмо из комплекта составлено как требование: в нём есть основание, сумма, срок исполнения и последствия неисполнения. Поэтому у шага есть развилка, которой не было бы у простого напоминания: такое письмо само может считаться претензией (иным требованием) по ч. 5 ст. 4 АПК РФ, и срок ожидания перед иском по общему правилу отсчитывается со дня его направления; иной срок и порядок проверяются по закону или договору. Достаточность письма для соблюдения досудебного порядка оценивает суд по его содержанию; если запас по времени есть, надёжнее пройти и шаг 3.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Заказчик оспаривает объёмы или качество по уже подписанным актам, заявляет зачёт — на шаге 3 сопоставьте взаимные требования и документы.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Если обнаружено дело о банкротстве или сообщение о намерении, зафиксируйте номер дела, стадию и дату публикации. Определите специальный порядок и срок предъявления требования кредитора по этой процедуре до выбора дальнейшего процессуального действия.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3. Претензия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Файл «Претензия на неоплату по КС-2» вместе с расчётом выбранной санкции. Для процентов по ст. 395 ГК РФ используйте файл 14; для договорной неустойки — отдельный расчёт по условиям договора, файл 14 для неё не используется.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Срок ответа на претензию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— проверьте по договору; если такого условия нет, срок ответа назначаете сами. Это не срок ожидания перед иском. Применимые срок и порядок досудебного урегулирования определите по закону или договору: по общему правилу ч. 5 ст. 4 АПК РФ ожидание исчисляется со дня направления претензии; иной срок и порядок нужно проверить отдельно. Зафиксируйте источник, длительность, начало и окончание ожидания. До его истечения иск не подавайте. Число в этот файл намеренно не записано: проверьте действующую редакцию.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 — тот же пункт даёт это право и при наличии обстоятельств, очевидно свидетельствующих, что обязанности заказчика не будут исполнены в установленный срок;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сроков: до решения сопоставьте условия договора, график и основания приостановки.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Про предупреждение заказчика надо различать два случая. Если вы приостанавливаете исполнение лишь на основании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Формы предупреждения п. 57 не устанавливает, а в остальных случаях не требует и самого предупреждения: письменное уведомление здесь мера предосторожности и ваше доказательство того, что работы встали не молча. Направлять его стоит в обоих случаях. Форма письма о приостановке есть в комплекте «Допработы», правовое основание в нём не заполнено — вписывается по условиям договора и обстоятельствам объекта.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4. Иск — после истечения срока досудебного урегулирования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62F37"/>
          <w:sz w:val="21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Перед подачей сопоставьте подписанные акты, расчёт и переписку. При встречных требованиях, экспертизе объёмов или споре о подписи добавьте подтверждающие материалы и уточните заявленные требования.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5. Процесс и решение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26"/>
        </w:rPr>
        <w:t xml:space="preserve">Шаг 6. Исполнение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Результат шага: выбран способ предъявления исполнительного листа и собраны документы для него. Если исполнение задерживается или появились признаки банкротства, проверьте сведения о должнике и порядок предъявления требования.</w:t>
      </w:r>
    </w:p>
    <w:p>
      <w:pPr>
        <w:pStyle w:val="Heading1"/>
        <w:keepNext/>
        <w:pageBreakBefore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Раздел Б. Работы выполнены, но акты не подписаны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если мотивы отказа заказчика от подписания суд признает обоснованными, односторонний акт может быть признан недействительным (п. 4 ст. 753 ГК РФ), и объёмы придётся доказывать иначе.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color w:val="262F37"/>
          <w:sz w:val="21"/>
          <w:szCs w:val="24"/>
        </w:rPr>
        <w:t xml:space="preserve">Документы для подтверждения сдачи работ: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сделать фотофиксацию выполненного.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Сопоставьте собранные материалы с мотивами отказа заказчика, оформите доказательства сдачи работ и подготовьте дальнейшие документы по односторонней приёмке.</w:t>
      </w:r>
    </w:p>
    <w:p>
      <w:pPr>
        <w:pStyle w:val="Heading1"/>
        <w:keepNext/>
        <w:pageBreakBefore/>
        <w:spacing w:after="80" w:before="160"/>
      </w:pPr>
      <w:r>
        <w:rPr>
          <w:rFonts w:ascii="Times New Roman" w:cs="Times New Roman" w:eastAsia="Times New Roman" w:hAnsi="Times New Roman"/>
          <w:b/>
          <w:bCs/>
          <w:color w:val="8E6F32"/>
          <w:sz w:val="24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2"/>
              </w:rPr>
              <w:t xml:space="preserve">Точка</w:t>
            </w:r>
          </w:p>
        </w:tc>
        <w:tc>
          <w:tcPr>
            <w:tcW w:type="dxa" w:w="420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F2EFE9" w:val="clear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262F37"/>
                <w:sz w:val="19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62F37"/>
                <w:sz w:val="19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претензия с расчётом выбранной санкции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претензия, расчёт выбранной санкции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Дата окончания применимого досудебного ожидания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срок досудебного урегулирования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3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62F37"/>
                <w:sz w:val="19"/>
                <w:szCs w:val="22"/>
              </w:rPr>
              <w:t xml:space="preserve">исковое заявление</w:t>
            </w:r>
          </w:p>
        </w:tc>
      </w:tr>
    </w:tbl>
    <w:p>
      <w:pPr>
        <w:spacing w:after="60" w:line="276"/>
      </w:pP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срок, по истечении которого спор может быть передан в арбитражный суд: он берётся из договора либо из ч. 5 ст. 4 АПК РФ. По общему правилу он считается со дня направления претензии; иной срок и порядок проверяются по закону или договору. Срок ответа на претензию не заменяет это ожидание. В контрольной линии укажите проверенную дату окончания применимого срока; до неё подавать иск нельзя.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262F37"/>
          <w:sz w:val="21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проверьте в актуальной редакции закона. По обязательству с определённым сроком исполнения начало течения давности определите после окончания срока оплаты по договору (п. 2 ст. 200 ГК РФ). Число в этот файл намеренно не записано.</w:t>
      </w:r>
    </w:p>
    <w:sectPr>
      <w:pgSz w:w="11906" w:h="16838" w:orient="portrait"/>
      <w:pgMar w:top="964" w:right="1020" w:bottom="96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  <w:pPr>
      <w:spacing w:after="70"/>
    </w:pPr>
    <w:rPr>
      <w:rFonts w:ascii="Times New Roman" w:hAnsi="Times New Roman"/>
      <w:color w:val="262F37"/>
      <w:sz w:val="21"/>
    </w:rPr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180"/>
    </w:pPr>
    <w:rPr>
      <w:rFonts w:ascii="Times New Roman" w:hAnsi="Times New Roman"/>
      <w:b/>
      <w:color w:val="000000"/>
      <w:sz w:val="34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2026-10-09T01:00:24.830Z</dcterms:created>
  <dcterms:modified xsi:type="dcterms:W3CDTF">2026-10-09T01:00:24.830Z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