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20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34"/>
          <w:szCs w:val="32"/>
        </w:rPr>
        <w:t xml:space="preserve">Исковое заявление о взыскании задолженности по договору подряда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i/>
          <w:iCs/>
          <w:color w:val="262F37"/>
          <w:sz w:val="21"/>
          <w:szCs w:val="24"/>
        </w:rPr>
        <w:t xml:space="preserve">Форма иска в арбитражный суд о долге за принятые работы и процентах по ст. 395 ГК РФ.</w:t>
      </w:r>
    </w:p>
    <w:p>
      <w:pPr>
        <w:pStyle w:val="Heading2"/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8E6F32"/>
          <w:sz w:val="24"/>
          <w:szCs w:val="26"/>
        </w:rPr>
        <w:t xml:space="preserve">Результат применения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Форма помогает подготовить иск, когда обе стороны — юридические лица или индивидуальные предприниматели, акты подписаны без замечаний, претензионный порядок соблюдён, встречных требований нет. В этом случае иск действительно можно подать самостоятельно.</w:t>
      </w:r>
    </w:p>
    <w:p>
      <w:pPr>
        <w:pStyle w:val="Heading2"/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8E6F32"/>
          <w:sz w:val="24"/>
          <w:szCs w:val="26"/>
        </w:rPr>
        <w:t xml:space="preserve">Когда применяется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Претензия направлена, долг не погашен; выдержан применимый срок досудебного урегулирования, установленный законом или договором, после направления претензии.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Спор относится к компетенции арбитражного суда: экономический спор между юрлицами или ИП (ст. 27, 28 АПК РФ).</w:t>
      </w:r>
    </w:p>
    <w:p>
      <w:pPr>
        <w:pStyle w:val="Heading2"/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8E6F32"/>
          <w:sz w:val="24"/>
          <w:szCs w:val="26"/>
        </w:rPr>
        <w:t xml:space="preserve">Дополнительные доказательства и процессуальный маршрут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При следующих обстоятельствах соберите подтверждения и определите требования и процессуальный маршрут с учётом материалов дела: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ответчик оспаривает объёмы или качество работ;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акты подписаны неуполномоченным лицом;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заявлены встречные требования или зачёт;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в картотеке арбитражных дел появилось банкротное дело;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работы принимались по односторонним актам (ст. 753 ГК РФ).</w:t>
      </w:r>
    </w:p>
    <w:p>
      <w:pPr>
        <w:pStyle w:val="Heading2"/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8E6F32"/>
          <w:sz w:val="24"/>
          <w:szCs w:val="26"/>
        </w:rPr>
        <w:t xml:space="preserve">Проверка перед подачей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Соберите доказательства выполнения и приёмки работ, расчёт долга и подтверждение направления претензии.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Сверьте реквизиты заявления и приложения со ст. 125 и 126 АПК РФ на дату подачи; проверьте истечение применимого срока досудебного урегулирования. Эта подготовка помогает подать полный комплект и пройти проверку суда по ст. 128, 129 и 148 АПК РФ.</w:t>
      </w:r>
    </w:p>
    <w:p>
      <w:pPr>
        <w:spacing w:after="60"/>
      </w:pPr>
      <w:r>
        <w:rPr>
          <w:rFonts w:ascii="Times New Roman" w:hAnsi="Times New Roman"/>
          <w:color w:val="262F37"/>
          <w:sz w:val="21"/>
        </w:rPr>
        <w:br w:type="page"/>
      </w:r>
    </w:p>
    <w:p>
      <w:pPr>
        <w:pStyle w:val="Heading1"/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8E6F32"/>
          <w:sz w:val="24"/>
          <w:szCs w:val="32"/>
        </w:rPr>
        <w:t xml:space="preserve">Текст искового заявления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i/>
          <w:iCs/>
          <w:color w:val="262F37"/>
          <w:sz w:val="21"/>
          <w:szCs w:val="24"/>
        </w:rPr>
        <w:t xml:space="preserve">Заполните поля в двойных фигурных скобках, выберите вариант там, где их два, удалите пояснения в квадратных скобках. Перед подачей убедитесь поиском, что скобок «{{» в документе не осталось.</w:t>
      </w:r>
    </w:p>
    <w:p>
      <w:pPr>
        <w:pBdr>
          <w:bottom w:val="single" w:color="BFBFBF" w:sz="6" w:space="6"/>
        </w:pBdr>
        <w:spacing w:after="60" w:before="120"/>
      </w:pP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В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{{НАИМЕНОВАНИЕ_АРБИТРАЖНОГО_СУДА}}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Истец: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{{НАИМЕНОВАНИЕ_ПОДРЯДЧИКА}}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{{ИНН_ПОДРЯДЧИКА}}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{{ОГРН_ПОДРЯДЧИКА}}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{{АДРЕС_ПОДРЯДЧИКА}}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Телефон, адрес электронной почты: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{{КОНТАКТЫ_ПОДРЯДЧИКА}}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Ответчик: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{{НАИМЕНОВАНИЕ_ЗАКАЗЧИКА}}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{{ИНН_ЗАКАЗЧИКА}}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{{ОГРН_ЗАКАЗЧИКА}}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{{АДРЕС_ЗАКАЗЧИКА}}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262F37"/>
          <w:sz w:val="21"/>
          <w:szCs w:val="24"/>
        </w:rPr>
        <w:t xml:space="preserve">[Если Истец — индивидуальный предприниматель, вместо наименования и адреса указываются фамилия, имя, отчество (при наличии), дата и место рождения, место жительства или место пребывания, дата и место государственной регистрации в качестве индивидуального предпринимателя, один из идентификаторов (СНИЛС, ИНН, серия и номер документа, удостоверяющего личность, серия и номер водительского удостоверения), а также номера телефонов, факсов, адреса электронной почты — п. 2 ч. 2 ст. 125 АПК РФ.]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262F37"/>
          <w:sz w:val="21"/>
          <w:szCs w:val="24"/>
        </w:rPr>
        <w:t xml:space="preserve">[Если Ответчик — индивидуальный предприниматель: фамилия, имя, отчество (при наличии), дата и место рождения, место жительства или место пребывания, место работы (если известно) и один из идентификаторов (СНИЛС, ИНН, серия и номер документа, удостоверяющего личность, ОГРНИП, серия и номер водительского удостоверения) — п. 3 ч. 2 ст. 125 АПК РФ.]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Цена иска: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{{ЦЕНА_ИСКА}}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Государственная пошлина: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{{РАЗМЕР_ГОСПОШЛИНЫ}}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color w:val="262F37"/>
          <w:sz w:val="21"/>
          <w:szCs w:val="24"/>
        </w:rPr>
        <w:t xml:space="preserve">ИСКОВОЕ ЗАЯВЛЕНИЕ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о взыскании задолженности по договору подряда и процентов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за пользование чужими денежными средствами</w:t>
      </w:r>
    </w:p>
    <w:p>
      <w:pPr>
        <w:keepNext/>
        <w:spacing w:after="60" w:line="276"/>
      </w:pPr>
      <w:r>
        <w:rPr>
          <w:rFonts w:ascii="Times New Roman" w:cs="Times New Roman" w:eastAsia="Times New Roman" w:hAnsi="Times New Roman"/>
          <w:b/>
          <w:bCs/>
          <w:color w:val="262F37"/>
          <w:sz w:val="21"/>
          <w:szCs w:val="24"/>
        </w:rPr>
        <w:t xml:space="preserve">1. Обстоятельства дела.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Между Истцом (Подрядчик) и Ответчиком (Заказчик) заключён договор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(далее — Договор) на выполнение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{{ПРЕДМЕТ_ДОГОВОРА}}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на объекте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{{ОБЪЕКТ}}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Истец выполнил работы, Ответчик принял их без замечаний, что подтверждается актом о приёмке выполненных работ (форма КС-2)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{{НОМЕР_КС2}}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{{ДАТА_КС2}}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и справкой о стоимости выполненных работ и затрат (форма КС-3)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{{НОМЕР_КС3}}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{{ДАТА_КС3}}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на сумму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{{СУММА_ПО_АКТУ}}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262F37"/>
          <w:sz w:val="21"/>
          <w:szCs w:val="24"/>
        </w:rPr>
        <w:t xml:space="preserve">[Если актов несколько — реестр актов в приложении.]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Согласно п.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{{ПУНКТ_ДОГОВОРА_ОБ_ОПЛАТЕ}}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Договора оплата производится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{{СРОК_ОПЛАТЫ_ПО_ДОГОВОРУ}}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. Срок истёк; 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{{ДАТА_НАЧАЛА_ПРОСРОЧКИ}}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Ответчик находится в просрочке. С учётом частичных оплат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262F37"/>
          <w:sz w:val="21"/>
          <w:szCs w:val="24"/>
        </w:rPr>
        <w:t xml:space="preserve">[перечислить либо удалить]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задолженность составляет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.</w:t>
      </w:r>
    </w:p>
    <w:p>
      <w:pPr>
        <w:keepNext/>
        <w:spacing w:after="60" w:line="276"/>
      </w:pPr>
      <w:r>
        <w:rPr>
          <w:rFonts w:ascii="Times New Roman" w:cs="Times New Roman" w:eastAsia="Times New Roman" w:hAnsi="Times New Roman"/>
          <w:b/>
          <w:bCs/>
          <w:color w:val="262F37"/>
          <w:sz w:val="21"/>
          <w:szCs w:val="24"/>
        </w:rPr>
        <w:t xml:space="preserve">2. Правовое обоснование.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Обязательства должны исполняться надлежащим образом; односторонний отказ от исполнения не допускается (ст. 309, 310 ГК РФ). Заказчик обязан оплатить выполненные работы после сдачи результата (ст. 711 ГК РФ), оплата выполненных работ производится в размере, предусмотренном сметой, в сроки и в порядке, которые установлены законом или договором строительного подряда (ст. 746 ГК РФ). Сдача и приёмка работ оформлены актами в порядке ст. 753 ГК РФ.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За пользование чужими денежными средствами вследствие просрочки их уплаты подлежат уплате проценты в размере, определяемом ключевой ставкой Банка России, действовавшей в соответствующие периоды (п. 1 ст. 395 ГК РФ). По состоянию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проценты составляют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{{СУММА_ПРОЦЕНТОВ}}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(расчёт — Приложение № 5). Проценты подлежат начислению по день фактической уплаты долга (п. 3 ст. 395 ГК РФ).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262F37"/>
          <w:sz w:val="21"/>
          <w:szCs w:val="24"/>
        </w:rPr>
        <w:t xml:space="preserve">[При договорной неустойке за нарушение денежного обязательства проценты по ст. 395 ГК РФ взысканию не подлежат, если иное не предусмотрено законом или договором (п. 4 ст. 395 ГК РФ). Для выбора неустойки вместо процентов выполните все замены в разделе «Проценты или договорная неустойка» после текста иска. Одной замены этого абзаца недостаточно.]</w:t>
      </w:r>
    </w:p>
    <w:p>
      <w:pPr>
        <w:keepNext/>
        <w:spacing w:after="60" w:line="276"/>
      </w:pPr>
      <w:r>
        <w:rPr>
          <w:rFonts w:ascii="Times New Roman" w:cs="Times New Roman" w:eastAsia="Times New Roman" w:hAnsi="Times New Roman"/>
          <w:b/>
          <w:bCs/>
          <w:color w:val="262F37"/>
          <w:sz w:val="21"/>
          <w:szCs w:val="24"/>
        </w:rPr>
        <w:t xml:space="preserve">3. Соблюдение досудебного порядка.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Претензия исх.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{{ИСХОДЯЩИЙ_НОМЕР}}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{{ДАТА_ПРЕТЕНЗИИ}}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направлена Ответчику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{{ДАТА_ОТПРАВКИ_ПРЕТЕНЗИИ}}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(опись вложения, почтовый идентификатор — Приложение № 6). Требования не удовлетворены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262F37"/>
          <w:sz w:val="21"/>
          <w:szCs w:val="24"/>
        </w:rPr>
        <w:t xml:space="preserve">[/оставлены без ответа]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. Применимый срок досудебного урегулирования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262F37"/>
          <w:sz w:val="21"/>
          <w:szCs w:val="24"/>
        </w:rPr>
        <w:t xml:space="preserve">[указать длительность и основание: закон или пункт договора]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, исчисляемый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262F37"/>
          <w:sz w:val="21"/>
          <w:szCs w:val="24"/>
        </w:rPr>
        <w:t xml:space="preserve">[указать порядок и дату начала по закону или договору]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, истёк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262F37"/>
          <w:sz w:val="21"/>
          <w:szCs w:val="24"/>
        </w:rPr>
        <w:t xml:space="preserve">[указать дату окончания]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. Досудебный порядок, установленный ч. 5 ст. 4 АПК РФ, соблюдён.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262F37"/>
          <w:sz w:val="21"/>
          <w:szCs w:val="24"/>
        </w:rPr>
        <w:t xml:space="preserve">[Утверждение о соблюдении досудебного порядка оставляйте только после проверки применимого срока и его истечения на дату подачи. {{СРОК_ОТВЕТА_НА_ПРЕТЕНЗИЮ}} — срок ответа, а не замена срока ожидания перед судом. Если срок ожидания ещё не истёк, иск не подавайте.]</w:t>
      </w:r>
    </w:p>
    <w:p>
      <w:pPr>
        <w:keepNext/>
        <w:spacing w:after="60" w:line="276"/>
      </w:pPr>
      <w:r>
        <w:rPr>
          <w:rFonts w:ascii="Times New Roman" w:cs="Times New Roman" w:eastAsia="Times New Roman" w:hAnsi="Times New Roman"/>
          <w:b/>
          <w:bCs/>
          <w:color w:val="262F37"/>
          <w:sz w:val="21"/>
          <w:szCs w:val="24"/>
        </w:rPr>
        <w:t xml:space="preserve">4. Подсудность.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Спор подсуден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{{НАИМЕНОВАНИЕ_АРБИТРАЖНОГО_СУДА}}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: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262F37"/>
          <w:sz w:val="21"/>
          <w:szCs w:val="24"/>
        </w:rPr>
        <w:t xml:space="preserve">[вариант 1]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по адресу Ответчика (ст. 35 АПК РФ);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262F37"/>
          <w:sz w:val="21"/>
          <w:szCs w:val="24"/>
        </w:rPr>
        <w:t xml:space="preserve">[вариант 2]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в соответствии с п.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{{ПУНКТ_ДОГОВОРА_О_ПОДСУДНОСТИ}}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Договора (ст. 37 АПК РФ).</w:t>
      </w:r>
    </w:p>
    <w:p>
      <w:pPr>
        <w:keepNext/>
        <w:spacing w:after="60" w:line="276"/>
      </w:pPr>
      <w:r>
        <w:rPr>
          <w:rFonts w:ascii="Times New Roman" w:cs="Times New Roman" w:eastAsia="Times New Roman" w:hAnsi="Times New Roman"/>
          <w:b/>
          <w:bCs/>
          <w:color w:val="262F37"/>
          <w:sz w:val="21"/>
          <w:szCs w:val="24"/>
        </w:rPr>
        <w:t xml:space="preserve">5. Примирение и обеспечительные меры.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Действия, направленные на примирение: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262F37"/>
          <w:sz w:val="21"/>
          <w:szCs w:val="24"/>
        </w:rPr>
        <w:t xml:space="preserve">[вариант 1]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сторонами предпринимались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262F37"/>
          <w:sz w:val="21"/>
          <w:szCs w:val="24"/>
        </w:rPr>
        <w:t xml:space="preserve">[указать какие и когда]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;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262F37"/>
          <w:sz w:val="21"/>
          <w:szCs w:val="24"/>
        </w:rPr>
        <w:t xml:space="preserve">[вариант 2]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сторонами не предпринимались. (По п. 8.1 ч. 2 ст. 125 АПК РФ сведения указываются, если такие действия предпринимались; вариант 2 оставляют, чтобы у суда не осталось вопроса. Оставьте один вариант.)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Меры по обеспечению имущественных интересов до предъявления иска: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262F37"/>
          <w:sz w:val="21"/>
          <w:szCs w:val="24"/>
        </w:rPr>
        <w:t xml:space="preserve">[вариант 1]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принимались — определение суда прилагается;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262F37"/>
          <w:sz w:val="21"/>
          <w:szCs w:val="24"/>
        </w:rPr>
        <w:t xml:space="preserve">[вариант 2]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не принимались (п. 9 ч. 2 ст. 125 АПК РФ). Оставьте один вариант.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На основании изложенного, руководствуясь ст. 309, 310, 395, 711, 746, 753 ГК РФ, ст. 4, 27, 28, 35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262F37"/>
          <w:sz w:val="21"/>
          <w:szCs w:val="24"/>
        </w:rPr>
        <w:t xml:space="preserve">[/37]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, 110, 125, 126 АПК РФ,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color w:val="262F37"/>
          <w:sz w:val="21"/>
          <w:szCs w:val="24"/>
        </w:rPr>
        <w:t xml:space="preserve">ПРОШУ: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1. Взыскать с Ответчика в пользу Истца задолженность по Договору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2. Взыскать с Ответчика проценты по ст. 395 ГК РФ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{{СУММА_ПРОЦЕНТОВ}}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по состоянию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, с последующим начислением по день фактической уплаты долга.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3. Взыскать с Ответчика расходы по уплате государственной пошлины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{{РАЗМЕР_ГОСПОШЛИНЫ}}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(ст. 110 АПК РФ).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b/>
          <w:bCs/>
          <w:color w:val="262F37"/>
          <w:sz w:val="21"/>
          <w:szCs w:val="24"/>
        </w:rPr>
        <w:t xml:space="preserve">Приложения (состав — по ст. 126 АПК РФ, сверить с действующей редакцией):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1. Уведомление о вручении или иные документы, подтверждающие направление копии искового заявления Ответчику.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2. Документ об уплате государственной пошлины.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3. Копия Договора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с приложениями.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4. Копии акта КС-2 и справки КС-3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262F37"/>
          <w:sz w:val="21"/>
          <w:szCs w:val="24"/>
        </w:rPr>
        <w:t xml:space="preserve">[реестр актов при множественности]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5. Расчёт взыскиваемой суммы (долг и проценты), подписанный Истцом.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6. Копия претензии и доказательства её направления.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7. Выписка из ЕГРЮЛ или ЕГРИП в отношении Истца и Ответчика, полученная не ранее чем за срок, установленный п. 9 ч. 1 ст. 126 АПК РФ, до дня обращения в арбитражный суд.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8. Доверенность или иные документы, подтверждающие полномочия на подписание искового заявления, а также копия документа о высшем юридическом образовании (учёной степени по юридической специальности) представителя, подписавшего заявление, либо документа, удостоверяющего его статус адвоката, патентного поверенного, арбитражного управляющего; при подписании единоличным органом управления — документ, удостоверяющий его статус (п. 5 ч. 1 ст. 126 АПК РФ).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9.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262F37"/>
          <w:sz w:val="21"/>
          <w:szCs w:val="24"/>
        </w:rPr>
        <w:t xml:space="preserve">[Копия определения арбитражного суда об обеспечении имущественных интересов до предъявления иска — если такие меры принимались (п. 6 ч. 1 ст. 126 АПК РФ).]</w:t>
      </w:r>
    </w:p>
    <w:p>
      <w:pPr>
        <w:keepNext/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10.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262F37"/>
          <w:sz w:val="21"/>
          <w:szCs w:val="24"/>
        </w:rPr>
        <w:t xml:space="preserve">[Документы, подтверждающие действия, направленные на примирение, — если такие действия предпринимались и документы имеются (п. 7.1 ч. 1 ст. 126 АПК РФ).]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11.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262F37"/>
          <w:sz w:val="21"/>
          <w:szCs w:val="24"/>
        </w:rPr>
        <w:t xml:space="preserve">[Акт сверки, платёжные поручения о частичной оплате — при наличии.]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12.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262F37"/>
          <w:sz w:val="21"/>
          <w:szCs w:val="24"/>
        </w:rPr>
        <w:t xml:space="preserve">[Копия свидетельства о государственной регистрации Истца либо лист записи ЕГРЮЛ — по желанию. Пункт 4 ч. 1 ст. 126 АПК РФ, который требовал этот документ, утратил силу: в обязательный перечень он больше не входит.]</w:t>
      </w:r>
    </w:p>
    <w:p>
      <w:pPr>
        <w:keepNext/>
        <w:spacing w:after="6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{{ДОЛЖНОСТЬ_ПОДПИСАНТА}}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{{ОСНОВАНИЕ_ПОЛНОМОЧИЙ}}</w:t>
      </w:r>
    </w:p>
    <w:p>
      <w:pPr>
        <w:keepNext/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_________________ /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{{ФИО_ПОДПИСАНТА}}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/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{{ДАТА_ДОКУМЕНТА}}</w:t>
      </w:r>
    </w:p>
    <w:p>
      <w:pPr>
        <w:pStyle w:val="Heading1"/>
        <w:keepNext/>
        <w:pageBreakBefore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8E6F32"/>
          <w:sz w:val="24"/>
          <w:szCs w:val="32"/>
        </w:rPr>
        <w:t xml:space="preserve">Как заполнять и подавать</w:t>
      </w:r>
    </w:p>
    <w:p>
      <w:pPr>
        <w:pStyle w:val="Heading2"/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8E6F32"/>
          <w:sz w:val="24"/>
          <w:szCs w:val="26"/>
        </w:rPr>
        <w:t xml:space="preserve">Проценты или договорная неустойка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Печатный текст выше подготовлен для процентов по ст. 395 ГК РФ. Если выбран этот вариант, заполните его и удалите пояснение об альтернативе. Если по договору выбираете неустойку вместо процентов, выполните все семь действий ниже. В окончательном иске должна остаться одна ветка; исключение о совместном взыскании проверяется по закону и договору отдельно.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1. Заголовок под словами «ИСКОВОЕ ЗАЯВЛЕНИЕ» замените на «о взыскании задолженности по договору подряда и неустойки». Строку «за пользование чужими денежными средствами» удалите.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2. Абзац раздела 2, начинающийся словами «За пользование чужими денежными средствами», замените целиком: «За просрочку оплаты п.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{{ПУНКТ_ДОГОВОРА_О_НЕУСТОЙКЕ}}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Договора предусмотрена неустойка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262F37"/>
          <w:sz w:val="21"/>
          <w:szCs w:val="24"/>
        </w:rPr>
        <w:t xml:space="preserve">[условия и ставка по договору]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.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за период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262F37"/>
          <w:sz w:val="21"/>
          <w:szCs w:val="24"/>
        </w:rPr>
        <w:t xml:space="preserve">[начало и конец периода]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неустойка составляет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262F37"/>
          <w:sz w:val="21"/>
          <w:szCs w:val="24"/>
        </w:rPr>
        <w:t xml:space="preserve">[сумма неустойки, руб.]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(ст. 330 ГК РФ; расчёт — Приложение № 5)». Заполните пояснения по договору и расчёту;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здесь — дата подачи. Пояснение о выборе альтернативы удалите.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3. В строке «На основании изложенного, руководствуясь...» замените ссылку на ст. 395 ГК РФ ссылкой на ст. 330 ГК РФ; остальные применимые основания сохраните.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4. Пункт 2 раздела «ПРОШУ» замените целиком: «2. Взыскать с Ответчика неустойку по п.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{{ПУНКТ_ДОГОВОРА_О_НЕУСТОЙКЕ}}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Договора в размере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262F37"/>
          <w:sz w:val="21"/>
          <w:szCs w:val="24"/>
        </w:rPr>
        <w:t xml:space="preserve">[сумма неустойки, руб.]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за период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262F37"/>
          <w:sz w:val="21"/>
          <w:szCs w:val="24"/>
        </w:rPr>
        <w:t xml:space="preserve">[начало и конец периода]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по состоянию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». Не копируйте автоматически требование процентов о последующем начислении: для неустойки такое требование добавляют только после проверки условий договора и отдельного расчёта.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5. Приложение № 5 назовите «Расчёт взыскиваемой суммы (долг и неустойка), подписанный Истцом». Приложите собственный расчёт неустойки по договору с периодом, базой, ставкой и учётом частичных оплат. Файл 14 «Калькулятор процентов» рассчитывает только проценты по ст. 395 ГК РФ и для неустойки не используется. Поле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{{СУММА_ПРОЦЕНТОВ}}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не используйте для суммы неустойки.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6.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{{ЦЕНА_ИСКА}}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пересчитайте как долг плюс выбранная неустойка на дату подачи, затем проверьте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{{РАЗМЕР_ГОСПОШЛИНЫ}}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от этой цены на ту же дату. Период и сумма должны совпадать в разделе 2, пункте 2 «ПРОШУ» и расчёте.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7. Перед подачей проверьте заголовок, правовое обоснование, перечень норм, «ПРОШУ», Приложение № 5 и цену иска: в ветке неустойки не должно остаться требования процентов по ст. 395 ГК РФ, а в ветке процентов — требования договорной неустойки. Удалите из направляемого иска инструкции и пояснения.</w:t>
      </w:r>
    </w:p>
    <w:p>
      <w:pPr>
        <w:pStyle w:val="Heading2"/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8E6F32"/>
          <w:sz w:val="24"/>
          <w:szCs w:val="26"/>
        </w:rPr>
        <w:t xml:space="preserve">Госпошлина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Размер — по ст. 333.21 Налогового кодекса РФ от цены иска. Число в форме заполняется намеренно: ставки пошлины менялись, и зашитая цифра рано или поздно станет неверной. Считайте калькулятором на сайте арбитражного суда или в системе «Мой арбитр» на дату подачи — по памяти не пишите.</w:t>
      </w:r>
    </w:p>
    <w:p>
      <w:pPr>
        <w:pStyle w:val="Heading2"/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8E6F32"/>
          <w:sz w:val="24"/>
          <w:szCs w:val="26"/>
        </w:rPr>
        <w:t xml:space="preserve">Цена иска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Цена иска — это долг плюс проценты (или неустойка) на дату подачи: проценты и неустойка, указанные в исковом заявлении, включаются в цену иска (ч. 1 ст. 103 АПК РФ). Требование о начислении «по день фактической уплаты» цену иска на дату подачи не увеличивает, но выбранные проценты или неустойку на дату подачи пересчитать обязательно: расчёт, сделанный к претензии месяц назад, уже неверен.</w:t>
      </w:r>
    </w:p>
    <w:p>
      <w:pPr>
        <w:pStyle w:val="Heading2"/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8E6F32"/>
          <w:sz w:val="24"/>
          <w:szCs w:val="26"/>
        </w:rPr>
        <w:t xml:space="preserve">Подача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Подавать иск можно только после истечения применимого срока досудебного урегулирования, установленного законом или договором. До подачи проверьте основание, длительность, порядок исчисления, начало и окончание этого срока. По общему правилу ч. 5 ст. 4 АПК РФ срок идёт со дня направления претензии; иной срок и порядок проверяются по закону или договору. Назначенный в претензии срок ответа их не заменяет.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Электронно через «Мой арбитр» (my.arbitr.ru) — тогда документы прикрепляются файлами. Либо на бумаге. Копию иска Ответчику истец направляет сам до подачи, заказным письмом с уведомлением; квитанция становится Приложением № 1.</w:t>
      </w:r>
    </w:p>
    <w:p>
      <w:pPr>
        <w:pStyle w:val="Heading2"/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8E6F32"/>
          <w:sz w:val="24"/>
          <w:szCs w:val="26"/>
        </w:rPr>
        <w:t xml:space="preserve">Что проверить перед отправкой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Выдержан применимый срок досудебного урегулирования, установленный законом или договором, после направления претензии; его основание и дата окончания подтверждены.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Скобок «{{» в документе не осталось.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Выбран один вариант там, где их было два: подсудность, проценты или неустойка.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Выбранные проценты или неустойка пересчитаны на дату подачи, а не на дату претензии; сумма совпадает с требованием, расчётом и ценой иска.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Выписки ЕГРЮЛ или ЕГРИП получены не ранее чем за срок, установленный п. 9 ч. 1 ст. 126 АПК РФ, до дня обращения в арбитражный суд.</w:t>
      </w:r>
    </w:p>
    <w:sectPr>
      <w:pgSz w:w="11906" w:h="16838" w:orient="portrait"/>
      <w:pgMar w:top="964" w:right="1020" w:bottom="964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pPr>
      <w:spacing w:after="180"/>
    </w:pPr>
    <w:rPr>
      <w:rFonts w:ascii="Times New Roman" w:hAnsi="Times New Roman"/>
      <w:b/>
      <w:color w:val="000000"/>
      <w:sz w:val="34"/>
      <w:szCs w:val="56"/>
    </w:rPr>
  </w:style>
  <w:style w:type="paragraph" w:styleId="Heading1">
    <w:name w:val="Heading 1"/>
    <w:basedOn w:val="Normal"/>
    <w:next w:val="Normal"/>
    <w:qFormat/>
    <w:rPr>
      <w:color w:val="34383B"/>
      <w:sz w:val="32"/>
      <w:szCs w:val="32"/>
    </w:rPr>
  </w:style>
  <w:style w:type="paragraph" w:styleId="Heading2">
    <w:name w:val="Heading 2"/>
    <w:basedOn w:val="Normal"/>
    <w:next w:val="Normal"/>
    <w:qFormat/>
    <w:rPr>
      <w:color w:val="34383B"/>
      <w:sz w:val="26"/>
      <w:szCs w:val="26"/>
    </w:rPr>
  </w:style>
  <w:style w:type="paragraph" w:styleId="Heading3">
    <w:name w:val="Heading 3"/>
    <w:basedOn w:val="Normal"/>
    <w:next w:val="Normal"/>
    <w:qFormat/>
    <w:rPr>
      <w:color w:val="34383B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34383B"/>
    </w:rPr>
  </w:style>
  <w:style w:type="paragraph" w:styleId="Heading5">
    <w:name w:val="Heading 5"/>
    <w:basedOn w:val="Normal"/>
    <w:next w:val="Normal"/>
    <w:qFormat/>
    <w:rPr>
      <w:color w:val="34383B"/>
    </w:rPr>
  </w:style>
  <w:style w:type="paragraph" w:styleId="Heading6">
    <w:name w:val="Heading 6"/>
    <w:basedOn w:val="Normal"/>
    <w:next w:val="Normal"/>
    <w:qFormat/>
    <w:rPr>
      <w:color w:val="34383B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34383B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2026-10-08T17:02:02.255Z</dcterms:created>
  <dcterms:modified xsi:type="dcterms:W3CDTF">2026-10-08T17:02:02.255Z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