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Приложение: порядок сдачи и приёмки</w:t>
      </w:r>
    </w:p>
    <w:p>
      <w:r>
        <w:rPr>
          <w:i/>
          <w:color w:val="E85D22"/>
        </w:rP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Передача</w:t>
      </w:r>
    </w:p>
    <w:p>
      <w:pPr>
        <w:pStyle w:val="ListBullet"/>
      </w:pPr>
      <w:r>
        <w:t>Уведомление за [___] дней</w:t>
      </w:r>
    </w:p>
    <w:p>
      <w:pPr>
        <w:pStyle w:val="ListBullet"/>
      </w:pPr>
      <w:r>
        <w:t>Комплект по реестру</w:t>
      </w:r>
    </w:p>
    <w:p>
      <w:pPr>
        <w:pStyle w:val="ListBullet"/>
      </w:pPr>
      <w:r>
        <w:t>Доказуемый канал связи</w:t>
      </w:r>
    </w:p>
    <w:p>
      <w:pPr>
        <w:pStyle w:val="Heading1"/>
      </w:pPr>
      <w:r>
        <w:t>Проверка</w:t>
      </w:r>
    </w:p>
    <w:p>
      <w:pPr>
        <w:pStyle w:val="ListBullet"/>
      </w:pPr>
      <w:r>
        <w:t>Срок: [___] рабочих дней</w:t>
      </w:r>
    </w:p>
    <w:p>
      <w:pPr>
        <w:pStyle w:val="ListBullet"/>
      </w:pPr>
      <w:r>
        <w:t>Единый мотивированный перечень замечаний</w:t>
      </w:r>
    </w:p>
    <w:p>
      <w:pPr>
        <w:pStyle w:val="ListBullet"/>
      </w:pPr>
      <w:r>
        <w:t>Повторная проверка: [___] дней</w:t>
      </w:r>
    </w:p>
    <w:p>
      <w:pPr>
        <w:pStyle w:val="Heading1"/>
      </w:pPr>
      <w:r>
        <w:t>Итог</w:t>
      </w:r>
    </w:p>
    <w:p>
      <w:pPr>
        <w:pStyle w:val="ListBullet"/>
      </w:pPr>
      <w:r>
        <w:t>Подписание / мотивированный отказ / оформление неоспариваемой части</w:t>
      </w:r>
    </w:p>
    <w:p>
      <w:pPr>
        <w:pStyle w:val="Heading1"/>
      </w:pPr>
      <w:r>
        <w:t>Контроль перед использованием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7560"/>
      </w:tblGrid>
      <w:tr>
        <w:tc>
          <w:tcPr>
            <w:tcW w:type="dxa" w:w="4680"/>
            <w:shd w:fill="E9E5DC"/>
            <w:vAlign w:val="center"/>
          </w:tcPr>
          <w:p>
            <w:r>
              <w:t>Статус</w:t>
            </w:r>
          </w:p>
        </w:tc>
        <w:tc>
          <w:tcPr>
            <w:tcW w:type="dxa" w:w="4680"/>
            <w:shd w:fill="E9E5DC"/>
            <w:vAlign w:val="center"/>
          </w:tcPr>
          <w:p>
            <w:r>
              <w:t>Проверка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1800"/>
          </w:tcPr>
          <w:p>
            <w:r>
              <w:t>☐</w:t>
            </w:r>
          </w:p>
        </w:tc>
        <w:tc>
          <w:tcPr>
            <w:tcW w:type="dxa" w:w="7560"/>
          </w:tcPr>
          <w:p>
            <w:r>
              <w:t>Юридически значимые формулировки проверены специалистом под объект</w:t>
            </w:r>
          </w:p>
        </w:tc>
      </w:tr>
    </w:tbl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6"/>
      </w:rPr>
      <w:t>Приложение: порядок сдачи и приёмки  •  версия 21.07.2026  •  marzhavbetone.ru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646464"/>
        <w:sz w:val="16"/>
      </w:rPr>
      <w:t>МАРЖА В БЕТОНЕ  /  РАБОЧИЙ ШАБЛОН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" w:hAnsi="Arial"/>
      <w:color w:val="24262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