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отсчитывается со дня его направления.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предъявления требований кредиторов. Какие именно и что даёт их несоблюдение — зависит от процедуры и стадии дела и выясняется у юриста, причём сразу, а не после подачи обычного иска.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договора. Если договор такого срока не устанавливает, иск можно подать по истечении срока, установленного ч. 5 ст. 4 АПК РФ, который считается со дня направления претензии; обязанности ответить в этот срок норма не устанавливает.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 и считается со дня направления претензии.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2026-08-16T07:48:37.359Z</dcterms:created>
  <dcterms:modified xsi:type="dcterms:W3CDTF">2026-08-16T07:48:37.359Z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