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Внутренняя проверка перед передачей</w:t>
      </w:r>
    </w:p>
    <w:p>
      <w:r>
        <w:rPr>
          <w:i/>
        </w:rPr>
        <w:t>Файл 09. Проверочный лист, протокол внутренней проверки и связь с реестром приложений. Все инструменты проверки находятся в этой системе — для прохождения шага ничего дополнительно не требуется.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Система рассчитана на одну ситуацию: работы приняты, задолженность и взаиморасчёты подтверждены документами, срок оплаты истёк.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pPr>
        <w:pStyle w:val="Heading1"/>
      </w:pPr>
      <w:r>
        <w:t>Раздел А. Проверочный лист</w:t>
      </w:r>
    </w:p>
    <w:p>
      <w:r>
        <w:rPr>
          <w:b w:val="0"/>
          <w:i w:val="0"/>
        </w:rPr>
        <w:t>Отмечайте пункт только после сверки с источником, указанным в колонке «Где проверить». Пункт, который нельзя отметить, — ошибка до передачи, а не после.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Что проверить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Где проверить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Отметка ☐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Кто, когда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Номер и дата договора, номера допсоглашений совпадают во всех документах</w:t>
            </w:r>
          </w:p>
        </w:tc>
        <w:tc>
          <w:tcPr>
            <w:tcW w:type="dxa" w:w="1728"/>
          </w:tcPr>
          <w:p>
            <w:r>
              <w:t>Договор, КС-2, КС-3, акт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Наименования сторон, ИНН — по ЕГРЮЛ, без сокращений, отличающихся от договора</w:t>
            </w:r>
          </w:p>
        </w:tc>
        <w:tc>
          <w:tcPr>
            <w:tcW w:type="dxa" w:w="1728"/>
          </w:tcPr>
          <w:p>
            <w:r>
              <w:t>ЕГРЮЛ, договор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Отчётный период одинаков в КС-2 и КС-3</w:t>
            </w:r>
          </w:p>
        </w:tc>
        <w:tc>
          <w:tcPr>
            <w:tcW w:type="dxa" w:w="1728"/>
          </w:tcPr>
          <w:p>
            <w:r>
              <w:t>Файл 04, лист «Сверка»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Стоимость строк = количество × цена, итоги пересчитаны формулой</w:t>
            </w:r>
          </w:p>
        </w:tc>
        <w:tc>
          <w:tcPr>
            <w:tcW w:type="dxa" w:w="1728"/>
          </w:tcPr>
          <w:p>
            <w:r>
              <w:t>Файл 04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Итог КС-2 = стоимость за период в КС-3</w:t>
            </w:r>
          </w:p>
        </w:tc>
        <w:tc>
          <w:tcPr>
            <w:tcW w:type="dxa" w:w="1728"/>
          </w:tcPr>
          <w:p>
            <w:r>
              <w:t>Файл 04, лист «Сверка»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Объёмы КС-2 совпадают с журналом объёмов по каждой позиции</w:t>
            </w:r>
          </w:p>
        </w:tc>
        <w:tc>
          <w:tcPr>
            <w:tcW w:type="dxa" w:w="1728"/>
          </w:tcPr>
          <w:p>
            <w:r>
              <w:t>Файл 08, «Журнал объёмов», свод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Позиции и расценки соответствуют смете / приложению к договору</w:t>
            </w:r>
          </w:p>
        </w:tc>
        <w:tc>
          <w:tcPr>
            <w:tcW w:type="dxa" w:w="1728"/>
          </w:tcPr>
          <w:p>
            <w:r>
              <w:t>Смета, договор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Нарастающий итог не превышает договорную цену; превышение оформлено допсоглашением</w:t>
            </w:r>
          </w:p>
        </w:tc>
        <w:tc>
          <w:tcPr>
            <w:tcW w:type="dxa" w:w="1728"/>
          </w:tcPr>
          <w:p>
            <w:r>
              <w:t>Файл 04, лист «Сверка»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Ставка НДС и основание применения соответствуют договору</w:t>
            </w:r>
          </w:p>
        </w:tc>
        <w:tc>
          <w:tcPr>
            <w:tcW w:type="dxa" w:w="1728"/>
          </w:tcPr>
          <w:p>
            <w:r>
              <w:t>Договор, КС-2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Аванс зачтён в порядке, установленном договором</w:t>
            </w:r>
          </w:p>
        </w:tc>
        <w:tc>
          <w:tcPr>
            <w:tcW w:type="dxa" w:w="1728"/>
          </w:tcPr>
          <w:p>
            <w:r>
              <w:t>Договор, файл 08 «Взаиморасчёты»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Подписант Подрядчика имеет полномочия; указано основание</w:t>
            </w:r>
          </w:p>
        </w:tc>
        <w:tc>
          <w:tcPr>
            <w:tcW w:type="dxa" w:w="1728"/>
          </w:tcPr>
          <w:p>
            <w:r>
              <w:t>Устав, доверенность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Указано, кто подписывает за Заказчика, и его полномочия известны</w:t>
            </w:r>
          </w:p>
        </w:tc>
        <w:tc>
          <w:tcPr>
            <w:tcW w:type="dxa" w:w="1728"/>
          </w:tcPr>
          <w:p>
            <w:r>
              <w:t>ЕГРЮЛ, доверенность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Все приложения, названные в документах, собраны и перечислены</w:t>
            </w:r>
          </w:p>
        </w:tc>
        <w:tc>
          <w:tcPr>
            <w:tcW w:type="dxa" w:w="1728"/>
          </w:tcPr>
          <w:p>
            <w:r>
              <w:t>Файл 08, «Реестр приложений»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Документы, которые договор называет условием приёмки или оплаты, приложены</w:t>
            </w:r>
          </w:p>
        </w:tc>
        <w:tc>
          <w:tcPr>
            <w:tcW w:type="dxa" w:w="1728"/>
          </w:tcPr>
          <w:p>
            <w:r>
              <w:t>Договор (пункт о сдаче и оплате)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Замечания прошлых сдач по этим работам закрыты или указан срок</w:t>
            </w:r>
          </w:p>
        </w:tc>
        <w:tc>
          <w:tcPr>
            <w:tcW w:type="dxa" w:w="1728"/>
          </w:tcPr>
          <w:p>
            <w:r>
              <w:t>Файл 08, «Реестр замечаний»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Выбран способ передачи с доказательством; адрес — по ЕГРЮЛ и по договору</w:t>
            </w:r>
          </w:p>
        </w:tc>
        <w:tc>
          <w:tcPr>
            <w:tcW w:type="dxa" w:w="1728"/>
          </w:tcPr>
          <w:p>
            <w:r>
              <w:t>Файл 10, раздел А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Количество экземпляров соответствует договору</w:t>
            </w:r>
          </w:p>
        </w:tc>
        <w:tc>
          <w:tcPr>
            <w:tcW w:type="dxa" w:w="1728"/>
          </w:tcPr>
          <w:p>
            <w:r>
              <w:t>Договор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Даты документов логичны: акт не раньше окончания периода, справка не раньше акта</w:t>
            </w:r>
          </w:p>
        </w:tc>
        <w:tc>
          <w:tcPr>
            <w:tcW w:type="dxa" w:w="1728"/>
          </w:tcPr>
          <w:p>
            <w:r>
              <w:t>КС-2, КС-3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Нет исправлений от руки без оговорки и подписи</w:t>
            </w:r>
          </w:p>
        </w:tc>
        <w:tc>
          <w:tcPr>
            <w:tcW w:type="dxa" w:w="1728"/>
          </w:tcPr>
          <w:p>
            <w:r>
              <w:t>Оригиналы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Комплект сканирован до отправки; скан сохранён в папке объекта</w:t>
            </w:r>
          </w:p>
        </w:tc>
        <w:tc>
          <w:tcPr>
            <w:tcW w:type="dxa" w:w="1728"/>
          </w:tcPr>
          <w:p>
            <w:r>
              <w:t>Архив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Раздел Б. Протокол внутренней проверки</w:t>
      </w:r>
    </w:p>
    <w:p>
      <w:r>
        <w:rPr>
          <w:b/>
          <w:i w:val="0"/>
        </w:rPr>
        <w:t>ПРОТОКОЛ ВНУТРЕННЕЙ ПРОВЕРКИ № {{НОМЕР}} от {{ДАТА}}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Комплект (акт КС-2 №, справка КС-3 №, иные документы)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Договор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Проверил (должность, ФИО)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 проверки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Пунктов проверочного листа отмечено / всего</w:t>
            </w:r>
          </w:p>
        </w:tc>
        <w:tc>
          <w:tcPr>
            <w:tcW w:type="dxa" w:w="4320"/>
          </w:tcPr>
          <w:p>
            <w:r>
              <w:t>___ / 20</w:t>
            </w:r>
          </w:p>
        </w:tc>
      </w:tr>
    </w:tbl>
    <w:p/>
    <w:p>
      <w:r>
        <w:rPr>
          <w:b w:val="0"/>
          <w:i w:val="0"/>
        </w:rPr>
        <w:t>Найденные ошибки и исправления: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Документ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Ошибка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Исправлено (да / нет)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Кем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Дата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b/>
          <w:i w:val="0"/>
        </w:rPr>
        <w:t>Решение (выбрать одно):</w:t>
      </w:r>
    </w:p>
    <w:p>
      <w:pPr>
        <w:pStyle w:val="ListBullet"/>
      </w:pPr>
      <w:r>
        <w:t>☐ Передавать: все пункты отмечены, ошибки исправлены.</w:t>
      </w:r>
    </w:p>
    <w:p>
      <w:pPr>
        <w:pStyle w:val="ListBullet"/>
      </w:pPr>
      <w:r>
        <w:t>☐ Не передавать до исправления: {{ЧТО_ИСПРАВИТЬ}}, срок {{СРОК}}.</w:t>
      </w:r>
    </w:p>
    <w:p>
      <w:r>
        <w:rPr>
          <w:b w:val="0"/>
          <w:i w:val="0"/>
        </w:rPr>
        <w:t>Проверил: _______________ / {{ФИО}} /        Утвердил: _______________ / {{ФИО}} /</w:t>
      </w:r>
    </w:p>
    <w:p>
      <w:pPr>
        <w:pStyle w:val="Heading1"/>
      </w:pPr>
      <w:r>
        <w:t>Раздел В. Реестр приложений</w:t>
      </w:r>
    </w:p>
    <w:p>
      <w:r>
        <w:rPr>
          <w:b w:val="0"/>
          <w:i w:val="0"/>
        </w:rPr>
        <w:t>Реестр приложений ведётся в файле 08, лист «Реестр приложений»: из него же собираются приложения к претензии и иску. Перед передачей проверьте, что каждое приложение, названное в документах, в реестре отмечено «Есть».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Внутренняя проверка перед передачей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