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обращения в арбитражный суд</w:t>
      </w:r>
    </w:p>
    <w:p>
      <w:r>
        <w:rPr>
          <w:i/>
        </w:rPr>
        <w:t>Файл 15. Раздел А — проверочный лист готовности. Раздел Б — шаблон искового заявления. Раздел В — опись материалов для специалиста. Раздел Г — после решения.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приняты, задолженность и взаиморасчёты подтверждены документами, срок оплаты истёк.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Раздел А. Проверочный лист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Где подтверждается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Претензия направлена, доказательство направления есть</w:t>
            </w:r>
          </w:p>
        </w:tc>
        <w:tc>
          <w:tcPr>
            <w:tcW w:type="dxa" w:w="2160"/>
          </w:tcPr>
          <w:p>
            <w:r>
              <w:t>Файл 08, «Реестр передачи»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Срок, по истечении которого можно обращаться в суд, истёк (по договору, а если не установлен — по ч. 5 ст. 4 АПК РФ, со дня направления претензии)</w:t>
            </w:r>
          </w:p>
        </w:tc>
        <w:tc>
          <w:tcPr>
            <w:tcW w:type="dxa" w:w="2160"/>
          </w:tcPr>
          <w:p>
            <w:r>
              <w:t>Файл 02, «Контроль ответа»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Заказчик не отвечает признакам банкротства (проверка в день подачи)</w:t>
            </w:r>
          </w:p>
        </w:tc>
        <w:tc>
          <w:tcPr>
            <w:tcW w:type="dxa" w:w="2160"/>
          </w:tcPr>
          <w:p>
            <w:r>
              <w:t>Картотека арбитражных дел, Федресурс; иначе граница B3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Нет встречных требований, зачётов, удержаний, неустойки по спорной сумме — или они переданы специалисту</w:t>
            </w:r>
          </w:p>
        </w:tc>
        <w:tc>
          <w:tcPr>
            <w:tcW w:type="dxa" w:w="2160"/>
          </w:tcPr>
          <w:p>
            <w:r>
              <w:t>Файл 08, «Взаиморасчёты»; иначе граница B2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Нет мотивированного отказа, спора о подписи, спора об объёме</w:t>
            </w:r>
          </w:p>
        </w:tc>
        <w:tc>
          <w:tcPr>
            <w:tcW w:type="dxa" w:w="2160"/>
          </w:tcPr>
          <w:p>
            <w:r>
              <w:t>Файл 08, «Реестр замечаний»; иначе граница B4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Определён суд: по общему правилу — по адресу ответчика (ст. 35 АПК РФ), если договор не устанавливает иное (ст. 37 АПК РФ)</w:t>
            </w:r>
          </w:p>
        </w:tc>
        <w:tc>
          <w:tcPr>
            <w:tcW w:type="dxa" w:w="2160"/>
          </w:tcPr>
          <w:p>
            <w:r>
              <w:t>Договор, ЕГРЮЛ ответчика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Цена иска = долг + проценты на дату иска (ст. 103 АПК РФ)</w:t>
            </w:r>
          </w:p>
        </w:tc>
        <w:tc>
          <w:tcPr>
            <w:tcW w:type="dxa" w:w="2160"/>
          </w:tcPr>
          <w:p>
            <w:r>
              <w:t>Файл 14 со статусом «ГОТОВ»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Государственная пошлина рассчитана по действующей редакции ст. 333.21 НК РФ и уплачена</w:t>
            </w:r>
          </w:p>
        </w:tc>
        <w:tc>
          <w:tcPr>
            <w:tcW w:type="dxa" w:w="2160"/>
          </w:tcPr>
          <w:p>
            <w:r>
              <w:t>Калькулятор на сайте суда или в «Мой арбитр»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Выбран вид производства: приказное (гл. 29.1 АПК РФ), упрощённое (гл. 29 АПК РФ) или общее; пороги сумм — по действующей редакции</w:t>
            </w:r>
          </w:p>
        </w:tc>
        <w:tc>
          <w:tcPr>
            <w:tcW w:type="dxa" w:w="2160"/>
          </w:tcPr>
          <w:p>
            <w:r>
              <w:t>АПК РФ, действующая редакция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Копия иска и приложений, которых у ответчика нет, направлена ответчику (п. 1 ст. 126 АПК РФ)</w:t>
            </w:r>
          </w:p>
        </w:tc>
        <w:tc>
          <w:tcPr>
            <w:tcW w:type="dxa" w:w="2160"/>
          </w:tcPr>
          <w:p>
            <w:r>
              <w:t>Файл 08, «Реестр передачи»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Все приложения собраны (ст. 126 АПК РФ)</w:t>
            </w:r>
          </w:p>
        </w:tc>
        <w:tc>
          <w:tcPr>
            <w:tcW w:type="dxa" w:w="2160"/>
          </w:tcPr>
          <w:p>
            <w:r>
              <w:t>Файл 08, «Реестр приложений»: строка «Нужно к иску, но нет» = 0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Срок исковой давности не пропущен (ст. 196 ГК РФ)</w:t>
            </w:r>
          </w:p>
        </w:tc>
        <w:tc>
          <w:tcPr>
            <w:tcW w:type="dxa" w:w="2160"/>
          </w:tcPr>
          <w:p>
            <w:r>
              <w:t>Дата начала просрочки, файл 02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Б. Исковое заявление</w:t>
      </w:r>
    </w:p>
    <w:p>
      <w:r>
        <w:rPr>
          <w:b w:val="0"/>
          <w:i/>
        </w:rPr>
        <w:t>Реквизиты искового заявления определены ст. 125 АПК РФ, перечень приложений — ст. 126 АПК РФ. Сверьте шаблон с их действующей редакцией.</w:t>
      </w:r>
    </w:p>
    <w:p>
      <w:r>
        <w:rPr>
          <w:b w:val="0"/>
          <w:i w:val="0"/>
        </w:rPr>
        <w:t>В Арбитражный суд {{НАИМЕНОВАНИЕ_СУДА}}</w:t>
      </w:r>
    </w:p>
    <w:p>
      <w:r>
        <w:rPr>
          <w:b w:val="0"/>
          <w:i w:val="0"/>
        </w:rPr>
        <w:t>Истец: {{НАИМЕНОВАНИЕ_ПОДРЯДЧИКА}}, ИНН {{ИНН}}, ОГРН {{ОГРН}}, адрес: {{АДРЕС}}, тел. {{ТЕЛЕФОН}}, эл. почта {{EMAIL}}</w:t>
      </w:r>
    </w:p>
    <w:p>
      <w:r>
        <w:rPr>
          <w:b w:val="0"/>
          <w:i w:val="0"/>
        </w:rPr>
        <w:t>Ответчик: {{НАИМЕНОВАНИЕ_ЗАКАЗЧИКА}}, ИНН {{ИНН}}, ОГРН {{ОГРН}}, адрес (по ЕГРЮЛ): {{АДРЕС}}</w:t>
      </w:r>
    </w:p>
    <w:p>
      <w:r>
        <w:rPr>
          <w:b w:val="0"/>
          <w:i w:val="0"/>
        </w:rPr>
        <w:t>Цена иска: {{ЦЕНА_ИСКА}} руб. Государственная пошлина: {{ГОСПОШЛИНА}} руб.</w:t>
      </w:r>
    </w:p>
    <w:p>
      <w:r>
        <w:rPr>
          <w:b/>
          <w:i w:val="0"/>
        </w:rPr>
        <w:t>ИСКОВОЕ ЗАЯВЛЕНИЕ о взыскании задолженности по договору подряда и процентов за пользование чужими денежными средствами</w:t>
      </w:r>
    </w:p>
    <w:p>
      <w:r>
        <w:rPr>
          <w:b w:val="0"/>
          <w:i w:val="0"/>
        </w:rPr>
        <w:t>Между Истцом (Подрядчик) и Ответчиком (Заказчик) заключён договор № {{НОМЕР_ДОГОВОРА}} от {{ДАТА_ДОГОВОРА}}. Истец выполнил, а Ответчик принял работы на сумму {{СУММА_ПО_АКТАМ}} руб., что подтверждается актами {{ПЕРЕЧЕНЬ_АКТОВ}}, подписанными Ответчиком.</w:t>
      </w:r>
    </w:p>
    <w:p>
      <w:r>
        <w:rPr>
          <w:b w:val="0"/>
          <w:i w:val="0"/>
        </w:rPr>
        <w:t>Согласно п. {{ПУНКТ}} договора оплата производится {{СРОК_ОПЛАТЫ}}. Ответчик оплатил {{ОПЛАЧЕНО}} руб.; задолженность составляет {{СУММА_ДОЛГА}} руб.</w:t>
      </w:r>
    </w:p>
    <w:p>
      <w:r>
        <w:rPr>
          <w:b w:val="0"/>
          <w:i w:val="0"/>
        </w:rPr>
        <w:t>Обязанность оплатить принятые работы установлена ст. 309, 310, 711, 746 ГК РФ. На сумму долга начислены проценты по ст. 395 ГК РФ за период с {{ДАТА_С}} по {{ДАТА_ПО}} в сумме {{СУММА_ПРОЦЕНТОВ}} руб. (расчёт приложен).</w:t>
      </w:r>
    </w:p>
    <w:p>
      <w:r>
        <w:rPr>
          <w:b w:val="0"/>
          <w:i w:val="0"/>
        </w:rPr>
        <w:t>Досудебный порядок соблюдён: претензия № {{НОМЕР}} от {{ДАТА}} направлена Ответчику {{ДАТА_НАПРАВЛЕНИЯ}} ({{СПОСОБ}}, {{ТРЕК}}); {{ОТВЕТ_НЕ_ПОЛУЧЕН / ПОЛУЧЕН_ОТКАЗ_БЕЗ_МОТИВОВ}}.</w:t>
      </w:r>
    </w:p>
    <w:p>
      <w:r>
        <w:rPr>
          <w:b w:val="0"/>
          <w:i w:val="0"/>
        </w:rPr>
        <w:t>На основании изложенного, руководствуясь ст. 309, 310, 395, 711, 746 ГК РФ, ст. 4, 110, 125, 126 АПК РФ, прошу:</w:t>
      </w:r>
    </w:p>
    <w:p>
      <w:pPr>
        <w:pStyle w:val="ListNumber"/>
      </w:pPr>
      <w:r>
        <w:t>Взыскать с Ответчика задолженность {{СУММА_ДОЛГА}} руб.</w:t>
      </w:r>
    </w:p>
    <w:p>
      <w:pPr>
        <w:pStyle w:val="ListNumber"/>
      </w:pPr>
      <w:r>
        <w:t>Взыскать с Ответчика проценты за пользование чужими денежными средствами за период с {{ДАТА_С}} по {{ДАТА_ПО}} в сумме {{СУММА_ПРОЦЕНТОВ}} руб. и далее по день фактической оплаты долга.</w:t>
      </w:r>
    </w:p>
    <w:p>
      <w:pPr>
        <w:pStyle w:val="ListNumber"/>
      </w:pPr>
      <w:r>
        <w:t>Взыскать с Ответчика расходы по уплате государственной пошлины.</w:t>
      </w:r>
    </w:p>
    <w:p>
      <w:r>
        <w:rPr>
          <w:b w:val="0"/>
          <w:i w:val="0"/>
        </w:rPr>
        <w:t>Приложения: по реестру приложений (файл 08), отметка «К иску»: документ об уплате пошлины; доказательство направления иска ответчику; договор; акты; доказательства передачи; расчёт; претензия и доказательство её направления; выписки ЕГРЮЛ на истца и ответчика; доверенность представителя (если подписывает представитель).</w:t>
      </w:r>
    </w:p>
    <w:p>
      <w:r>
        <w:rPr>
          <w:b w:val="0"/>
          <w:i w:val="0"/>
        </w:rPr>
        <w:t>{{ДОЛЖНОСТЬ}}  _______________  / {{ФИО}} /     {{ДАТА}}</w:t>
      </w:r>
    </w:p>
    <w:p>
      <w:pPr>
        <w:pStyle w:val="Heading1"/>
      </w:pPr>
      <w:r>
        <w:t>Раздел В. Опись материалов для передачи специалисту</w:t>
      </w:r>
    </w:p>
    <w:p>
      <w:r>
        <w:rPr>
          <w:b w:val="0"/>
          <w:i w:val="0"/>
        </w:rPr>
        <w:t>Используется при любой границе B2–B4 и при решении не подавать иск самостоятельно. Специалист получает весь пакет сразу — это экономит его время и ваши деньги.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Материал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Где взять в системе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Есть ☐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Листов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Договор, допсоглашения, приложения</w:t>
            </w:r>
          </w:p>
        </w:tc>
        <w:tc>
          <w:tcPr>
            <w:tcW w:type="dxa" w:w="1728"/>
          </w:tcPr>
          <w:p>
            <w:r>
              <w:t>Архив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Акты КС-2 / акты, справки КС-3</w:t>
            </w:r>
          </w:p>
        </w:tc>
        <w:tc>
          <w:tcPr>
            <w:tcW w:type="dxa" w:w="1728"/>
          </w:tcPr>
          <w:p>
            <w:r>
              <w:t>Файлы 04, 05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Акты приёмки и передаточные акты</w:t>
            </w:r>
          </w:p>
        </w:tc>
        <w:tc>
          <w:tcPr>
            <w:tcW w:type="dxa" w:w="1728"/>
          </w:tcPr>
          <w:p>
            <w:r>
              <w:t>Файлы 06, 07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Журнал объёмов</w:t>
            </w:r>
          </w:p>
        </w:tc>
        <w:tc>
          <w:tcPr>
            <w:tcW w:type="dxa" w:w="1728"/>
          </w:tcPr>
          <w:p>
            <w:r>
              <w:t>Файл 08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Реестр замечаний с перепиской</w:t>
            </w:r>
          </w:p>
        </w:tc>
        <w:tc>
          <w:tcPr>
            <w:tcW w:type="dxa" w:w="1728"/>
          </w:tcPr>
          <w:p>
            <w:r>
              <w:t>Файл 08, файл 10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Реестр передачи с доказательствами</w:t>
            </w:r>
          </w:p>
        </w:tc>
        <w:tc>
          <w:tcPr>
            <w:tcW w:type="dxa" w:w="1728"/>
          </w:tcPr>
          <w:p>
            <w:r>
              <w:t>Файл 08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Реестр взаиморасчётов, платёжные поручения, акт сверки</w:t>
            </w:r>
          </w:p>
        </w:tc>
        <w:tc>
          <w:tcPr>
            <w:tcW w:type="dxa" w:w="1728"/>
          </w:tcPr>
          <w:p>
            <w:r>
              <w:t>Файл 08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Протоколы внутренней проверки</w:t>
            </w:r>
          </w:p>
        </w:tc>
        <w:tc>
          <w:tcPr>
            <w:tcW w:type="dxa" w:w="1728"/>
          </w:tcPr>
          <w:p>
            <w:r>
              <w:t>Файл 09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Протоколы переговоров, соглашения, гарантийные письма</w:t>
            </w:r>
          </w:p>
        </w:tc>
        <w:tc>
          <w:tcPr>
            <w:tcW w:type="dxa" w:w="1728"/>
          </w:tcPr>
          <w:p>
            <w:r>
              <w:t>Файл 11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Уведомление, претензия, доказательства направления</w:t>
            </w:r>
          </w:p>
        </w:tc>
        <w:tc>
          <w:tcPr>
            <w:tcW w:type="dxa" w:w="1728"/>
          </w:tcPr>
          <w:p>
            <w:r>
              <w:t>Файлы 12, 13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Расчёт процентов</w:t>
            </w:r>
          </w:p>
        </w:tc>
        <w:tc>
          <w:tcPr>
            <w:tcW w:type="dxa" w:w="1728"/>
          </w:tcPr>
          <w:p>
            <w:r>
              <w:t>Файл 14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Итог первичной проверки и карта рисков</w:t>
            </w:r>
          </w:p>
        </w:tc>
        <w:tc>
          <w:tcPr>
            <w:tcW w:type="dxa" w:w="1728"/>
          </w:tcPr>
          <w:p>
            <w:r>
              <w:t>Файл 02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Выписки ЕГРЮЛ, результаты проверки на банкротство</w:t>
            </w:r>
          </w:p>
        </w:tc>
        <w:tc>
          <w:tcPr>
            <w:tcW w:type="dxa" w:w="1728"/>
          </w:tcPr>
          <w:p>
            <w:r>
              <w:t>nalog.ru, kad.arbitr.ru, fedresurs.ru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Краткая хронология: даты сдачи, замечаний, оплат, писем</w:t>
            </w:r>
          </w:p>
        </w:tc>
        <w:tc>
          <w:tcPr>
            <w:tcW w:type="dxa" w:w="1728"/>
          </w:tcPr>
          <w:p>
            <w:r>
              <w:t>Файл 02, «Контроль ответа»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Вопрос к специалисту одной фразой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Раздел Г. После решения суда</w:t>
      </w:r>
    </w:p>
    <w:p>
      <w:pPr>
        <w:pStyle w:val="ListBullet"/>
      </w:pPr>
      <w:r>
        <w:t>Отслеживайте дело в картотеке арбитражных дел; после вступления решения в силу получите исполнительный лист.</w:t>
      </w:r>
    </w:p>
    <w:p>
      <w:pPr>
        <w:pStyle w:val="ListBullet"/>
      </w:pPr>
      <w:r>
        <w:t>Исполнительный документ о взыскании денежных средств можно предъявить непосредственно в банк, где открыт счёт должника (ст. 8 Федерального закона № 229-ФЗ «Об исполнительном производстве»), или в службу судебных приставов. Перечень сведений заявления сверьте по действующей редакции.</w:t>
      </w:r>
    </w:p>
    <w:p>
      <w:pPr>
        <w:pStyle w:val="ListBullet"/>
      </w:pPr>
      <w:r>
        <w:t>Взыскание невозможно или должник в признаках банкротства — граница B3.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обращения в арбитражный суд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