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Претензия на неоплату по КС-2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Досудебное требование оплатить принятые работы. Шаблон и инструкция.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Типовая редакция сверена с текстом действующих норм 15.08.2026. Нормативная сверка — это сопоставление формулировок, сроков и порядка со статьями закона; юридической консультацией и вычиткой юристом она не является. Шаблон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Претензия — обязательный шаг перед обращением в арбитражный суд с денежным требованием из договора (ч. 5 ст. 4 АПК РФ). Без направленной претензии иск оставят без рассмотрения: пошлина при этом возвращается или засчитывается в счёт нового обращения, а потерянными окажутся месяцы и темп.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Течение исковой давности приостанавливается на срок соблюдения досудебного порядка, если такой порядок обязателен в силу закона или договора (п. 3 ст. 202 ГК РФ). На претензию, которую ни закон, ни договор не требуют, это правило не распространяется: давность по ней продолжает течь.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выполнены и приняты: акт КС-2 и справка КС-3 (или иной предусмотренный договором акт) подписаны обеими сторонами.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оплаты по договору истёк, оплата не поступила или поступила частично.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Мягкий шаг — «Уведомление о просрочке оплаты» — либо уже сделан, либо осознанно пропущен. Претензию можно направлять и первым документом.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гарантирует оплату и не выигрывает спор. Это требование, а не решение суда.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подходит, если акты не подписаны заказчиком: уклонение от приёмки и односторонний акт (ст. 753 ГК РФ) — другая, более сложная ситуация. См. раздел Б файла «Алгоритм действий при задержке оплаты» и консультацию юриста.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юридическую консультацию. Если заказчик заявляет встречные требования, зачёт или находится в предбанкротном состоянии — к юристу до отправки.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Три поля, на которых чаще всего ошибаются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за вычетом всех частичных оплат. Завышенная сумма в претензии подрывает позицию: ответчик покажет платёжки, и суд увидит, что истец считать не умеет.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из свежей выписки ЕГРЮЛ, а не из шапки договора. Адрес мог смениться, и претензия по старому адресу — это претензия, которую вы не направили.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из договора; если договор молчит, из действующей редакции ч. 5 ст. 4 АПК РФ.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Срок, который вы даёте заказчику, и срок ожидания перед иском — разные вещи. По ч. 5 ст. 4 АПК РФ срок ожидания считается со дня НАПРАВЛЕНИЯ претензии, а не со дня её получения, и назначенный вами в претензии более короткий срок его не сокращает: иное устанавливается только законом или договором. Подать иск раньше — значит получить его обратно без рассмотрения.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словарь подстановок — в файле «Как заполнять: словарь полей».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претензии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Ниже — готовый текст. Заполните поля в двойных фигурных скобках,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{{ОГРН_ЗАКАЗЧИКА}}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ПРЕТЕНЗИЯ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(досудебное требование об оплате выполненных работ)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Заказчик)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Подрядчик) заключён договор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Договор), по которому Подрядчик обязался выполнить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{{ПРЕДМЕТ_ДОГОВОРА}}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объекте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Заказчик — принять результат работ и оплатить его.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Работы выполнены и приняты.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Подрядчик выполнил работы, что подтверждается актом о приёмке выполненных работ (форма КС-2)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справкой о стоимости выполненных работ и затрат (форма КС-3)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подписанными обеими сторонами без замечаний. Стоимость принятых работ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{{СУММА_ПО_АКТУ}}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актов несколько — перечислить каждый: номер, дата, сумма. Реестр актов допустимо вынести в приложение.]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Обязанность оплаты наступила и нарушена.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{{ПУНКТ_ДОГОВОРА_ОБ_ОПЛАТЕ}}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оплата производится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{{СРОК_ОПЛАТЫ_ПО_ДОГОВОРУ}}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Срок оплаты истёк;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Заказчик находится в просрочке.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учётом частичных оплат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были — перечислить: дата, сумма, платёжное поручение; если не было — абзац удалить]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задолженность Заказчика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силу ст. 309, 310 Гражданского кодекса РФ обязательства должны исполняться надлежащим образом; односторонний отказ от исполнения не допускается. Обязанность заказчика оплатить принятые работы установлена ст. 711 и ст. 746 Гражданского кодекса РФ и Договором.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На сумму долга начисляются проценты.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ст. 395 Гражданского кодекса РФ за пользование чужими денежными средствами подлежат уплате проценты, размер которых определяется ключевой ставкой Банка России, действовавшей в соответствующие периоды.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проценты составляют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(расчёт — Приложение № 2). Проценты продолжают начисляться по день фактической оплаты.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Договором установлена неустойка за просрочку оплаты (п. {{ПУНКТ_ДОГОВОРА_О_НЕУСТОЙКЕ}}) — заявлять неустойку по договору вместо процентов по ст. 395 ГК РФ. Одновременное взыскание того и другого за одно нарушение по общему правилу не допускается (п. 4 ст. 395 ГК РФ); выбор между ними — вопрос к юристу по конкретному договору.]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Требование.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требуем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момента получения настоящей претензии: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1) оплатить задолженность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2) уплатить проценты по ст. 395 ГК РФ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[либо неустойку по п. {{ПУНКТ_ДОГОВОРА_О_НЕУСТОЙКЕ}} Договора]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рассчитанные на дату платежа.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Реквизиты для перечисления: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{{БАНКОВСКИЕ_РЕКВИЗИТЫ_ПОДРЯДЧИКА}}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неисполнении настоящего требования в указанный срок Подрядчик обратится в арбитражный суд с иском о взыскании задолженности, процентов (неустойки), а также судебных расходов, включая государственную пошлину и расходы на представителя (ст. 110 АПК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Копии акта КС-2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справки КС-3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Расчёт процентов по ст. 395 ГК РФ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[Акт сверки взаимных расчётов — при наличии.]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 и отправлять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Отправка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Почтой России ценным письмом с описью вложения и уведомлением о вручении на юридический адрес по выписке ЕГРЮЛ. Дополнительно — на адрес электронной почты, указанный в договоре, если договором такой канал предусмотрен.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Опись и трек-номер сохраните. Они пойдут в приложения к иску как доказательство соблюдения досудебного порядка — без них суд не увидит, что вы вообще что-то направляли.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Если договор не устанавливает срок оплаты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Ситуация решается через ст. 314 ГК РФ (срок исполнения обязательства) и ст. 711 ГК РФ, но определение даты начала просрочки здесь спорно. Согласуйте дату с юристом, а не выбирайте её на глаз: от неё считаются проценты, и ошибка в дате — это ошибка в сумме.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 формах КС-2 и КС-3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введены постановлением Госкомстата России от 11.11.1999 № 100 «Об утверждении унифицированных форм первичной учетной документации по учету работ в капитальном строительстве и ремонтно-строительных работ». С переходом на необязательность унифицированных форм договор может предусматривать собственные формы актов — тогда в тексте ссылайтесь на акт, названный в договоре.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Почему в шаблоне нет ни одного числа из законодательства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 ставки, ни срока, ни размера пошлины числом здесь нет — это сделано намеренно. Значения меняются, а скачанный файл не обновляется сам. Каждое число приносит тот, кто заполняет, из названного источника на дату документа. Шаблон, в котором зашита прошлогодняя ставка, опаснее шаблона без неё.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2026-08-16T06:56:22.863Z</dcterms:created>
  <dcterms:modified xsi:type="dcterms:W3CDTF">2026-08-16T06:56:22.873Z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