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досудебный порядок предусмотрен законом, течение исковой давности на время его соблюдения приостанавливается — на срок, установленный для такой процедуры законом, а при отсутствии такого срока — на срок, названный п. 3 ст. 202 ГК РФ. На претензию, которую закон не требует, правило не распространяется: давность по ней продолжает течь. Точный остаток срока после приостановления считайте по п. 4 ст. 202 ГК РФ.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2026-08-16T07:06:11.350Z</dcterms:created>
  <dcterms:modified xsi:type="dcterms:W3CDTF">2026-08-16T07:06:11.350Z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