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200" w:before="240"/>
      </w:pPr>
      <w:r>
        <w:rPr>
          <w:rFonts w:ascii="Times New Roman" w:cs="Times New Roman" w:eastAsia="Times New Roman" w:hAnsi="Times New Roman"/>
          <w:b/>
          <w:bCs/>
          <w:sz w:val="32"/>
          <w:szCs w:val="32"/>
        </w:rPr>
        <w:t xml:space="preserve">Как заполнять: словарь полей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i/>
          <w:iCs/>
          <w:color w:val="595959"/>
          <w:sz w:val="24"/>
          <w:szCs w:val="24"/>
        </w:rPr>
        <w:t xml:space="preserve">Единый словарь подстановок для всех документов комплекта.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shd w:fill="F2F2F2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spacing w:after="100" w:line="276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Важно, прочитайте до использования</w:t>
            </w:r>
          </w:p>
          <w:p>
            <w:pPr>
              <w:spacing w:after="100" w:line="276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Это типовой шаблон, а не юридическая консультация и не гарантия взыскания. Он рассчитан на типовую ситуацию: работы приняты, акты подписаны обеими сторонами без замечаний, встречных требований нет.</w:t>
            </w:r>
          </w:p>
          <w:p>
            <w:pPr>
              <w:spacing w:after="100" w:line="276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Тексты прошли вычитку юристом в типовой редакции. Отдельные формулировки правлены 15.08.2026 по нормативной сверке: эти правки внесены после вычитки и юристом не читались. Вычитка типовой редакции не заменяет консультацию по конкретной ситуации: выводы зависят от условий вашего договора, состава подписанных документов и обстоятельств спора, и приоритет всегда у договора. Если заказчик оспаривает объёмы или качество, заявляет зачёт, если акты подписаны неуполномоченным лицом или в картотеке арбитражных дел появилось дело о банкротстве должника — типовой текст создаёт ложную уверенность. В этих случаях обращайтесь к юристу до отправки.</w:t>
            </w:r>
          </w:p>
          <w:p>
            <w:pPr>
              <w:spacing w:after="0" w:line="276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Ставок, сроков и размеров пошлин числом в шаблоне нет намеренно: они меняются, а скачанный файл не обновляется. Каждое число вы берёте из названного источника на дату составления документа.</w:t>
            </w:r>
          </w:p>
        </w:tc>
      </w:tr>
    </w:tbl>
    <w:p>
      <w:pPr>
        <w:spacing w:after="120" w:line="276"/>
      </w:pPr>
    </w:p>
    <w:p>
      <w:pPr>
        <w:spacing w:after="12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Формат поля — двойные фигурные скобки и имя заглавными буквами: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{{ИМЯ_ПОЛЯ}}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. Одно поле означает одно и то же во всех документах: значение, подставленное в уведомление, без изменений переносится в претензию и в иск. Заполняйте словарь один раз — дальше он работает на весь комплект.</w:t>
      </w:r>
    </w:p>
    <w:p>
      <w:pPr>
        <w:pStyle w:val="Heading2"/>
        <w:keepNext/>
        <w:spacing w:after="120" w:before="26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Главное правило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Перед отправкой любого документа найдите поиском символы «{{». Если они нашлись — документ не готов. Незаполненное поле в отправленной претензии хуже задержки на день: оно показывает получателю, что вы отправили шаблон, не читая.</w:t>
      </w:r>
    </w:p>
    <w:p>
      <w:pPr>
        <w:pStyle w:val="Heading2"/>
        <w:keepNext/>
        <w:spacing w:after="120" w:before="26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Стороны</w:t>
      </w:r>
    </w:p>
    <w:tbl>
      <w:tblPr>
        <w:tblW w:type="dxa" w:w="90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400"/>
        <w:gridCol w:w="2760"/>
      </w:tblGrid>
      <w:tr>
        <w:trPr>
          <w:tblHeader/>
        </w:trPr>
        <w:tc>
          <w:tcPr>
            <w:tcW w:type="dxa" w:w="2900"/>
            <w:shd w:fill="EDEDE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Поле</w:t>
            </w:r>
          </w:p>
        </w:tc>
        <w:tc>
          <w:tcPr>
            <w:tcW w:type="dxa" w:w="3400"/>
            <w:shd w:fill="EDEDE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Что подставить</w:t>
            </w:r>
          </w:p>
        </w:tc>
        <w:tc>
          <w:tcPr>
            <w:tcW w:type="dxa" w:w="2760"/>
            <w:shd w:fill="EDEDE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Откуда брать</w:t>
            </w:r>
          </w:p>
        </w:tc>
      </w:tr>
      <w:tr>
        <w:tc>
          <w:tcPr>
            <w:tcW w:type="dxa" w:w="29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{{НАИМЕНОВАНИЕ_ПОДРЯДЧИКА}}</w:t>
            </w:r>
          </w:p>
        </w:tc>
        <w:tc>
          <w:tcPr>
            <w:tcW w:type="dxa" w:w="3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Полное наименование вашей организации</w:t>
            </w:r>
          </w:p>
        </w:tc>
        <w:tc>
          <w:tcPr>
            <w:tcW w:type="dxa" w:w="27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учредительные документы, выписка ЕГРЮЛ</w:t>
            </w:r>
          </w:p>
        </w:tc>
      </w:tr>
      <w:tr>
        <w:tc>
          <w:tcPr>
            <w:tcW w:type="dxa" w:w="29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{{ИНН_ПОДРЯДЧИКА}}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, </w:t>
            </w: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{{ОГРН_ПОДРЯДЧИКА}}</w:t>
            </w:r>
          </w:p>
        </w:tc>
        <w:tc>
          <w:tcPr>
            <w:tcW w:type="dxa" w:w="3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ИНН и ОГРН вашей организации</w:t>
            </w:r>
          </w:p>
        </w:tc>
        <w:tc>
          <w:tcPr>
            <w:tcW w:type="dxa" w:w="27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выписка ЕГРЮЛ</w:t>
            </w:r>
          </w:p>
        </w:tc>
      </w:tr>
      <w:tr>
        <w:tc>
          <w:tcPr>
            <w:tcW w:type="dxa" w:w="29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{{АДРЕС_ПОДРЯДЧИКА}}</w:t>
            </w:r>
          </w:p>
        </w:tc>
        <w:tc>
          <w:tcPr>
            <w:tcW w:type="dxa" w:w="3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Юридический адрес вашей организации</w:t>
            </w:r>
          </w:p>
        </w:tc>
        <w:tc>
          <w:tcPr>
            <w:tcW w:type="dxa" w:w="27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выписка ЕГРЮЛ</w:t>
            </w:r>
          </w:p>
        </w:tc>
      </w:tr>
      <w:tr>
        <w:tc>
          <w:tcPr>
            <w:tcW w:type="dxa" w:w="29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{{КОНТАКТЫ_ПОДРЯДЧИКА}}</w:t>
            </w:r>
          </w:p>
        </w:tc>
        <w:tc>
          <w:tcPr>
            <w:tcW w:type="dxa" w:w="3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Телефон и адрес электронной почты для суда</w:t>
            </w:r>
          </w:p>
        </w:tc>
        <w:tc>
          <w:tcPr>
            <w:tcW w:type="dxa" w:w="27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ваши рабочие контакты</w:t>
            </w:r>
          </w:p>
        </w:tc>
      </w:tr>
      <w:tr>
        <w:tc>
          <w:tcPr>
            <w:tcW w:type="dxa" w:w="29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{{БАНКОВСКИЕ_РЕКВИЗИТЫ_ПОДРЯДЧИКА}}</w:t>
            </w:r>
          </w:p>
        </w:tc>
        <w:tc>
          <w:tcPr>
            <w:tcW w:type="dxa" w:w="3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Расчётный счёт, банк, БИК, корсчёт</w:t>
            </w:r>
          </w:p>
        </w:tc>
        <w:tc>
          <w:tcPr>
            <w:tcW w:type="dxa" w:w="27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справка банка</w:t>
            </w:r>
          </w:p>
        </w:tc>
      </w:tr>
      <w:tr>
        <w:tc>
          <w:tcPr>
            <w:tcW w:type="dxa" w:w="29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{{НАИМЕНОВАНИЕ_ЗАКАЗЧИКА}}</w:t>
            </w:r>
          </w:p>
        </w:tc>
        <w:tc>
          <w:tcPr>
            <w:tcW w:type="dxa" w:w="3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Полное наименование должника — стороны договора, обязанной платить</w:t>
            </w:r>
          </w:p>
        </w:tc>
        <w:tc>
          <w:tcPr>
            <w:tcW w:type="dxa" w:w="27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договор и актуальная выписка ЕГРЮЛ</w:t>
            </w:r>
          </w:p>
        </w:tc>
      </w:tr>
      <w:tr>
        <w:tc>
          <w:tcPr>
            <w:tcW w:type="dxa" w:w="29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{{ИНН_ЗАКАЗЧИКА}}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, </w:t>
            </w: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{{ОГРН_ЗАКАЗЧИКА}}</w:t>
            </w:r>
          </w:p>
        </w:tc>
        <w:tc>
          <w:tcPr>
            <w:tcW w:type="dxa" w:w="3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ИНН и ОГРН должника</w:t>
            </w:r>
          </w:p>
        </w:tc>
        <w:tc>
          <w:tcPr>
            <w:tcW w:type="dxa" w:w="27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выписка ЕГРЮЛ; для иска они обязательны (ст. 125 АПК РФ)</w:t>
            </w:r>
          </w:p>
        </w:tc>
      </w:tr>
      <w:tr>
        <w:tc>
          <w:tcPr>
            <w:tcW w:type="dxa" w:w="29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{{АДРЕС_ЗАКАЗЧИКА}}</w:t>
            </w:r>
          </w:p>
        </w:tc>
        <w:tc>
          <w:tcPr>
            <w:tcW w:type="dxa" w:w="3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Юридический адрес должника</w:t>
            </w:r>
          </w:p>
        </w:tc>
        <w:tc>
          <w:tcPr>
            <w:tcW w:type="dxa" w:w="27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свежая выписка ЕГРЮЛ, а не шапка договора: адрес мог смениться</w:t>
            </w:r>
          </w:p>
        </w:tc>
      </w:tr>
      <w:tr>
        <w:tc>
          <w:tcPr>
            <w:tcW w:type="dxa" w:w="29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{{ДОЛЖНОСТЬ_ПОДПИСАНТА}}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, </w:t>
            </w: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{{ФИО_ПОДПИСАНТА}}</w:t>
            </w:r>
          </w:p>
        </w:tc>
        <w:tc>
          <w:tcPr>
            <w:tcW w:type="dxa" w:w="3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Кто подписывает от вашей организации</w:t>
            </w:r>
          </w:p>
        </w:tc>
        <w:tc>
          <w:tcPr>
            <w:tcW w:type="dxa" w:w="27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устав, доверенность</w:t>
            </w:r>
          </w:p>
        </w:tc>
      </w:tr>
      <w:tr>
        <w:tc>
          <w:tcPr>
            <w:tcW w:type="dxa" w:w="29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{{ОСНОВАНИЕ_ПОЛНОМОЧИЙ}}</w:t>
            </w:r>
          </w:p>
        </w:tc>
        <w:tc>
          <w:tcPr>
            <w:tcW w:type="dxa" w:w="3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«действующего на основании Устава» либо реквизиты доверенности</w:t>
            </w:r>
          </w:p>
        </w:tc>
        <w:tc>
          <w:tcPr>
            <w:tcW w:type="dxa" w:w="27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устав, доверенность</w:t>
            </w:r>
          </w:p>
        </w:tc>
      </w:tr>
    </w:tbl>
    <w:p>
      <w:r>
        <w:br w:type="page"/>
      </w:r>
    </w:p>
    <w:p>
      <w:pPr>
        <w:pStyle w:val="Heading2"/>
        <w:keepNext/>
        <w:spacing w:after="120" w:before="26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Договор и объект</w:t>
      </w:r>
    </w:p>
    <w:tbl>
      <w:tblPr>
        <w:tblW w:type="dxa" w:w="90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400"/>
        <w:gridCol w:w="2760"/>
      </w:tblGrid>
      <w:tr>
        <w:trPr>
          <w:tblHeader/>
        </w:trPr>
        <w:tc>
          <w:tcPr>
            <w:tcW w:type="dxa" w:w="2900"/>
            <w:shd w:fill="EDEDE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Поле</w:t>
            </w:r>
          </w:p>
        </w:tc>
        <w:tc>
          <w:tcPr>
            <w:tcW w:type="dxa" w:w="3400"/>
            <w:shd w:fill="EDEDE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Что подставить</w:t>
            </w:r>
          </w:p>
        </w:tc>
        <w:tc>
          <w:tcPr>
            <w:tcW w:type="dxa" w:w="2760"/>
            <w:shd w:fill="EDEDE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Откуда брать</w:t>
            </w:r>
          </w:p>
        </w:tc>
      </w:tr>
      <w:tr>
        <w:tc>
          <w:tcPr>
            <w:tcW w:type="dxa" w:w="29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{{НОМЕР_ДОГОВОРА}}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, </w:t>
            </w: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{{ДАТА_ДОГОВОРА}}</w:t>
            </w:r>
          </w:p>
        </w:tc>
        <w:tc>
          <w:tcPr>
            <w:tcW w:type="dxa" w:w="3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Реквизиты договора субподряда</w:t>
            </w:r>
          </w:p>
        </w:tc>
        <w:tc>
          <w:tcPr>
            <w:tcW w:type="dxa" w:w="27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титульный лист договора</w:t>
            </w:r>
          </w:p>
        </w:tc>
      </w:tr>
      <w:tr>
        <w:tc>
          <w:tcPr>
            <w:tcW w:type="dxa" w:w="29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{{ПРЕДМЕТ_ДОГОВОРА}}</w:t>
            </w:r>
          </w:p>
        </w:tc>
        <w:tc>
          <w:tcPr>
            <w:tcW w:type="dxa" w:w="3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Краткое описание работ по договору</w:t>
            </w:r>
          </w:p>
        </w:tc>
        <w:tc>
          <w:tcPr>
            <w:tcW w:type="dxa" w:w="27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раздел «Предмет договора»</w:t>
            </w:r>
          </w:p>
        </w:tc>
      </w:tr>
      <w:tr>
        <w:tc>
          <w:tcPr>
            <w:tcW w:type="dxa" w:w="29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{{ОБЪЕКТ}}</w:t>
            </w:r>
          </w:p>
        </w:tc>
        <w:tc>
          <w:tcPr>
            <w:tcW w:type="dxa" w:w="3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Наименование и адрес объекта строительства</w:t>
            </w:r>
          </w:p>
        </w:tc>
        <w:tc>
          <w:tcPr>
            <w:tcW w:type="dxa" w:w="27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договор, проектная документация</w:t>
            </w:r>
          </w:p>
        </w:tc>
      </w:tr>
      <w:tr>
        <w:tc>
          <w:tcPr>
            <w:tcW w:type="dxa" w:w="29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{{ПУНКТ_ДОГОВОРА_ОБ_ОПЛАТЕ}}</w:t>
            </w:r>
          </w:p>
        </w:tc>
        <w:tc>
          <w:tcPr>
            <w:tcW w:type="dxa" w:w="3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Номер пункта о порядке и сроке оплаты</w:t>
            </w:r>
          </w:p>
        </w:tc>
        <w:tc>
          <w:tcPr>
            <w:tcW w:type="dxa" w:w="27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текст договора</w:t>
            </w:r>
          </w:p>
        </w:tc>
      </w:tr>
      <w:tr>
        <w:tc>
          <w:tcPr>
            <w:tcW w:type="dxa" w:w="29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{{СРОК_ОПЛАТЫ_ПО_ДОГОВОРУ}}</w:t>
            </w:r>
          </w:p>
        </w:tc>
        <w:tc>
          <w:tcPr>
            <w:tcW w:type="dxa" w:w="3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Срок оплаты дословно, как в договоре</w:t>
            </w:r>
          </w:p>
        </w:tc>
        <w:tc>
          <w:tcPr>
            <w:tcW w:type="dxa" w:w="27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текст договора; если срок не установлен — см. раздел «Если договор не устанавливает срок оплаты» в претензии</w:t>
            </w:r>
          </w:p>
        </w:tc>
      </w:tr>
      <w:tr>
        <w:tc>
          <w:tcPr>
            <w:tcW w:type="dxa" w:w="29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{{ПУНКТ_ДОГОВОРА_О_НЕУСТОЙКЕ}}</w:t>
            </w:r>
          </w:p>
        </w:tc>
        <w:tc>
          <w:tcPr>
            <w:tcW w:type="dxa" w:w="3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Пункт о неустойке за просрочку оплаты, если он есть</w:t>
            </w:r>
          </w:p>
        </w:tc>
        <w:tc>
          <w:tcPr>
            <w:tcW w:type="dxa" w:w="27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текст договора</w:t>
            </w:r>
          </w:p>
        </w:tc>
      </w:tr>
      <w:tr>
        <w:tc>
          <w:tcPr>
            <w:tcW w:type="dxa" w:w="29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{{ПУНКТ_ДОГОВОРА_О_ПРЕТЕНЗИОННОМ_ПОРЯДКЕ}}</w:t>
            </w:r>
          </w:p>
        </w:tc>
        <w:tc>
          <w:tcPr>
            <w:tcW w:type="dxa" w:w="3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Пункт о досудебном порядке и сроке ответа на претензию</w:t>
            </w:r>
          </w:p>
        </w:tc>
        <w:tc>
          <w:tcPr>
            <w:tcW w:type="dxa" w:w="27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текст договора</w:t>
            </w:r>
          </w:p>
        </w:tc>
      </w:tr>
      <w:tr>
        <w:tc>
          <w:tcPr>
            <w:tcW w:type="dxa" w:w="29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{{ПУНКТ_ДОГОВОРА_О_ПОДСУДНОСТИ}}</w:t>
            </w:r>
          </w:p>
        </w:tc>
        <w:tc>
          <w:tcPr>
            <w:tcW w:type="dxa" w:w="3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Пункт о договорной подсудности, если он есть</w:t>
            </w:r>
          </w:p>
        </w:tc>
        <w:tc>
          <w:tcPr>
            <w:tcW w:type="dxa" w:w="27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текст договора</w:t>
            </w:r>
          </w:p>
        </w:tc>
      </w:tr>
    </w:tbl>
    <w:p>
      <w:pPr>
        <w:pStyle w:val="Heading2"/>
        <w:keepNext/>
        <w:spacing w:after="120" w:before="26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Акты и долг</w:t>
      </w:r>
    </w:p>
    <w:tbl>
      <w:tblPr>
        <w:tblW w:type="dxa" w:w="90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400"/>
        <w:gridCol w:w="2760"/>
      </w:tblGrid>
      <w:tr>
        <w:trPr>
          <w:tblHeader/>
        </w:trPr>
        <w:tc>
          <w:tcPr>
            <w:tcW w:type="dxa" w:w="2900"/>
            <w:shd w:fill="EDEDE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Поле</w:t>
            </w:r>
          </w:p>
        </w:tc>
        <w:tc>
          <w:tcPr>
            <w:tcW w:type="dxa" w:w="3400"/>
            <w:shd w:fill="EDEDE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Что подставить</w:t>
            </w:r>
          </w:p>
        </w:tc>
        <w:tc>
          <w:tcPr>
            <w:tcW w:type="dxa" w:w="2760"/>
            <w:shd w:fill="EDEDE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Откуда брать</w:t>
            </w:r>
          </w:p>
        </w:tc>
      </w:tr>
      <w:tr>
        <w:tc>
          <w:tcPr>
            <w:tcW w:type="dxa" w:w="29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{{НОМЕР_КС2}}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, </w:t>
            </w: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{{ДАТА_КС2}}</w:t>
            </w:r>
          </w:p>
        </w:tc>
        <w:tc>
          <w:tcPr>
            <w:tcW w:type="dxa" w:w="3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Реквизиты акта о приёмке выполненных работ</w:t>
            </w:r>
          </w:p>
        </w:tc>
        <w:tc>
          <w:tcPr>
            <w:tcW w:type="dxa" w:w="27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подписанный акт</w:t>
            </w:r>
          </w:p>
        </w:tc>
      </w:tr>
      <w:tr>
        <w:tc>
          <w:tcPr>
            <w:tcW w:type="dxa" w:w="29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{{НОМЕР_КС3}}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, </w:t>
            </w: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{{ДАТА_КС3}}</w:t>
            </w:r>
          </w:p>
        </w:tc>
        <w:tc>
          <w:tcPr>
            <w:tcW w:type="dxa" w:w="3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Реквизиты справки о стоимости работ</w:t>
            </w:r>
          </w:p>
        </w:tc>
        <w:tc>
          <w:tcPr>
            <w:tcW w:type="dxa" w:w="27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подписанная справка</w:t>
            </w:r>
          </w:p>
        </w:tc>
      </w:tr>
      <w:tr>
        <w:tc>
          <w:tcPr>
            <w:tcW w:type="dxa" w:w="29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{{СУММА_ПО_АКТУ}}</w:t>
            </w:r>
          </w:p>
        </w:tc>
        <w:tc>
          <w:tcPr>
            <w:tcW w:type="dxa" w:w="3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Стоимость работ по акту: цифрами и прописью, с указанием НДС</w:t>
            </w:r>
          </w:p>
        </w:tc>
        <w:tc>
          <w:tcPr>
            <w:tcW w:type="dxa" w:w="27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КС-2 и КС-3</w:t>
            </w:r>
          </w:p>
        </w:tc>
      </w:tr>
      <w:tr>
        <w:tc>
          <w:tcPr>
            <w:tcW w:type="dxa" w:w="29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{{СУММА_ДОЛГА}}</w:t>
            </w:r>
          </w:p>
        </w:tc>
        <w:tc>
          <w:tcPr>
            <w:tcW w:type="dxa" w:w="3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Неоплаченный остаток за вычетом авансов и частичных оплат</w:t>
            </w:r>
          </w:p>
        </w:tc>
        <w:tc>
          <w:tcPr>
            <w:tcW w:type="dxa" w:w="27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акты сверки, банковские выписки</w:t>
            </w:r>
          </w:p>
        </w:tc>
      </w:tr>
      <w:tr>
        <w:tc>
          <w:tcPr>
            <w:tcW w:type="dxa" w:w="29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{{ДАТА_НАЧАЛА_ПРОСРОЧКИ}}</w:t>
            </w:r>
          </w:p>
        </w:tc>
        <w:tc>
          <w:tcPr>
            <w:tcW w:type="dxa" w:w="3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Первый день просрочки: день, следующий за последним днём срока оплаты</w:t>
            </w:r>
          </w:p>
        </w:tc>
        <w:tc>
          <w:tcPr>
            <w:tcW w:type="dxa" w:w="27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по договору, а не по формуле: (1) найдите, от какого события договор считает срок оплаты — подписание акта заказчиком, подписание КС-3, получение счёта, передача исполнительной документации; дата, проставленная в КС-2, и дата её подписания заказчиком — разные даты; (2) отсчитайте срок от этого события; (3) если последний день срока нерабочий, окончанием считается ближайший следующий рабочий день (ст. 193 ГК РФ); (4) первый день просрочки — следующий за днём окончания срока. Ошибка здесь меняет сумму процентов, цену иска и пошлину</w:t>
            </w:r>
          </w:p>
        </w:tc>
      </w:tr>
      <w:tr>
        <w:tc>
          <w:tcPr>
            <w:tcW w:type="dxa" w:w="29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{{ЧИСЛО_ДНЕЙ_ПРОСРОЧКИ}}</w:t>
            </w:r>
          </w:p>
        </w:tc>
        <w:tc>
          <w:tcPr>
            <w:tcW w:type="dxa" w:w="3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Дней просрочки на дату документа</w:t>
            </w:r>
          </w:p>
        </w:tc>
        <w:tc>
          <w:tcPr>
            <w:tcW w:type="dxa" w:w="27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файл расчёта процентов</w:t>
            </w:r>
          </w:p>
        </w:tc>
      </w:tr>
    </w:tbl>
    <w:p>
      <w:r>
        <w:br w:type="page"/>
      </w:r>
    </w:p>
    <w:p>
      <w:pPr>
        <w:pStyle w:val="Heading2"/>
        <w:keepNext/>
        <w:spacing w:after="120" w:before="26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Проценты и суд</w:t>
      </w:r>
    </w:p>
    <w:tbl>
      <w:tblPr>
        <w:tblW w:type="dxa" w:w="90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400"/>
        <w:gridCol w:w="2760"/>
      </w:tblGrid>
      <w:tr>
        <w:trPr>
          <w:tblHeader/>
        </w:trPr>
        <w:tc>
          <w:tcPr>
            <w:tcW w:type="dxa" w:w="2900"/>
            <w:shd w:fill="EDEDE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Поле</w:t>
            </w:r>
          </w:p>
        </w:tc>
        <w:tc>
          <w:tcPr>
            <w:tcW w:type="dxa" w:w="3400"/>
            <w:shd w:fill="EDEDE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Что подставить</w:t>
            </w:r>
          </w:p>
        </w:tc>
        <w:tc>
          <w:tcPr>
            <w:tcW w:type="dxa" w:w="2760"/>
            <w:shd w:fill="EDEDE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Откуда брать</w:t>
            </w:r>
          </w:p>
        </w:tc>
      </w:tr>
      <w:tr>
        <w:tc>
          <w:tcPr>
            <w:tcW w:type="dxa" w:w="29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{{КЛЮЧЕВАЯ_СТАВКА_ЦБ}}</w:t>
            </w:r>
          </w:p>
        </w:tc>
        <w:tc>
          <w:tcPr>
            <w:tcW w:type="dxa" w:w="3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Ключевая ставка Банка России, действовавшая в соответствующий период просрочки</w:t>
            </w:r>
          </w:p>
        </w:tc>
        <w:tc>
          <w:tcPr>
            <w:tcW w:type="dxa" w:w="27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только сайт Банка России cbr.ru, раздел «Ключевая ставка». В шаблонах значения нет намеренно: ставка меняется, документ — нет</w:t>
            </w:r>
          </w:p>
        </w:tc>
      </w:tr>
      <w:tr>
        <w:tc>
          <w:tcPr>
            <w:tcW w:type="dxa" w:w="29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{{СУММА_ПРОЦЕНТОВ}}</w:t>
            </w:r>
          </w:p>
        </w:tc>
        <w:tc>
          <w:tcPr>
            <w:tcW w:type="dxa" w:w="3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Проценты по ст. 395 ГК РФ на дату документа</w:t>
            </w:r>
          </w:p>
        </w:tc>
        <w:tc>
          <w:tcPr>
            <w:tcW w:type="dxa" w:w="27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файл расчёта процентов</w:t>
            </w:r>
          </w:p>
        </w:tc>
      </w:tr>
      <w:tr>
        <w:tc>
          <w:tcPr>
            <w:tcW w:type="dxa" w:w="29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{{СРОК_ОТВЕТА_НА_ПРЕТЕНЗИЮ}}</w:t>
            </w:r>
          </w:p>
        </w:tc>
        <w:tc>
          <w:tcPr>
            <w:tcW w:type="dxa" w:w="3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Срок из пункта договора о претензионном порядке; если договор молчит — срок по ч. 5 ст. 4 АПК РФ</w:t>
            </w:r>
          </w:p>
        </w:tc>
        <w:tc>
          <w:tcPr>
            <w:tcW w:type="dxa" w:w="27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договор; действующую редакцию ч. 5 ст. 4 АПК РФ проверить в правовой базе — число дней в шаблон намеренно не зашито</w:t>
            </w:r>
          </w:p>
        </w:tc>
      </w:tr>
      <w:tr>
        <w:tc>
          <w:tcPr>
            <w:tcW w:type="dxa" w:w="29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{{СРОК_ОТВЕТА_НА_УВЕДОМЛЕНИЕ}}</w:t>
            </w:r>
          </w:p>
        </w:tc>
        <w:tc>
          <w:tcPr>
            <w:tcW w:type="dxa" w:w="3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Разумный рабочий срок, который вы назначаете сами</w:t>
            </w:r>
          </w:p>
        </w:tc>
        <w:tc>
          <w:tcPr>
            <w:tcW w:type="dxa" w:w="27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ваше решение; законом не регулируется</w:t>
            </w:r>
          </w:p>
        </w:tc>
      </w:tr>
      <w:tr>
        <w:tc>
          <w:tcPr>
            <w:tcW w:type="dxa" w:w="29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{{НАИМЕНОВАНИЕ_АРБИТРАЖНОГО_СУДА}}</w:t>
            </w:r>
          </w:p>
        </w:tc>
        <w:tc>
          <w:tcPr>
            <w:tcW w:type="dxa" w:w="3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Арбитражный суд по подсудности</w:t>
            </w:r>
          </w:p>
        </w:tc>
        <w:tc>
          <w:tcPr>
            <w:tcW w:type="dxa" w:w="27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договор (ст. 37 АПК РФ) либо суд по адресу ответчика (ст. 35 АПК РФ)</w:t>
            </w:r>
          </w:p>
        </w:tc>
      </w:tr>
      <w:tr>
        <w:tc>
          <w:tcPr>
            <w:tcW w:type="dxa" w:w="29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{{ЦЕНА_ИСКА}}</w:t>
            </w:r>
          </w:p>
        </w:tc>
        <w:tc>
          <w:tcPr>
            <w:tcW w:type="dxa" w:w="3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Долг плюс проценты (или неустойка) на дату подачи иска</w:t>
            </w:r>
          </w:p>
        </w:tc>
        <w:tc>
          <w:tcPr>
            <w:tcW w:type="dxa" w:w="27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файл расчёта процентов</w:t>
            </w:r>
          </w:p>
        </w:tc>
      </w:tr>
      <w:tr>
        <w:tc>
          <w:tcPr>
            <w:tcW w:type="dxa" w:w="29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{{РАЗМЕР_ГОСПОШЛИНЫ}}</w:t>
            </w:r>
          </w:p>
        </w:tc>
        <w:tc>
          <w:tcPr>
            <w:tcW w:type="dxa" w:w="3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Госпошлина от цены иска</w:t>
            </w:r>
          </w:p>
        </w:tc>
        <w:tc>
          <w:tcPr>
            <w:tcW w:type="dxa" w:w="27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ст. 333.21 НК РФ; считать калькулятором на сайте арбитражного суда или в «Мой арбитр». По памяти не писать: размеры менялись</w:t>
            </w:r>
          </w:p>
        </w:tc>
      </w:tr>
      <w:tr>
        <w:tc>
          <w:tcPr>
            <w:tcW w:type="dxa" w:w="29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{{ИСХОДЯЩИЙ_НОМЕР}}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, </w:t>
            </w: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{{ДАТА_ДОКУМЕНТА}}</w:t>
            </w:r>
          </w:p>
        </w:tc>
        <w:tc>
          <w:tcPr>
            <w:tcW w:type="dxa" w:w="3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Исходящий номер и дата по вашему журналу</w:t>
            </w:r>
          </w:p>
        </w:tc>
        <w:tc>
          <w:tcPr>
            <w:tcW w:type="dxa" w:w="27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делопроизводство организации</w:t>
            </w:r>
          </w:p>
        </w:tc>
      </w:tr>
      <w:tr>
        <w:tc>
          <w:tcPr>
            <w:tcW w:type="dxa" w:w="29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{{ДАТА_ПРЕТЕНЗИИ}}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, </w:t>
            </w: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{{ДАТА_ОТПРАВКИ_ПРЕТЕНЗИИ}}</w:t>
            </w:r>
          </w:p>
        </w:tc>
        <w:tc>
          <w:tcPr>
            <w:tcW w:type="dxa" w:w="3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Дата претензии и дата её фактического направления</w:t>
            </w:r>
          </w:p>
        </w:tc>
        <w:tc>
          <w:tcPr>
            <w:tcW w:type="dxa" w:w="27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опись вложения, трек-номер отправления</w:t>
            </w:r>
          </w:p>
        </w:tc>
      </w:tr>
      <w:tr>
        <w:tc>
          <w:tcPr>
            <w:tcW w:type="dxa" w:w="29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{{ДЕНЬ_ОТПРАВКИ_ПРЕТЕНЗИИ}}</w:t>
            </w:r>
          </w:p>
        </w:tc>
        <w:tc>
          <w:tcPr>
            <w:tcW w:type="dxa" w:w="3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На какой день просрочки вы отправляете претензию</w:t>
            </w:r>
          </w:p>
        </w:tc>
        <w:tc>
          <w:tcPr>
            <w:tcW w:type="dxa" w:w="27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ваше решение; управленческий срок, не юридический</w:t>
            </w:r>
          </w:p>
        </w:tc>
      </w:tr>
    </w:tbl>
    <w:p>
      <w:r>
        <w:br w:type="page"/>
      </w:r>
    </w:p>
    <w:p>
      <w:pPr>
        <w:pStyle w:val="Heading1"/>
        <w:spacing w:after="200" w:before="240"/>
      </w:pPr>
      <w:r>
        <w:rPr>
          <w:rFonts w:ascii="Times New Roman" w:cs="Times New Roman" w:eastAsia="Times New Roman" w:hAnsi="Times New Roman"/>
          <w:b/>
          <w:bCs/>
          <w:sz w:val="32"/>
          <w:szCs w:val="32"/>
        </w:rPr>
        <w:t xml:space="preserve">Почему в комплекте нет ни одной ставки и ни одного срока числом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Это сделано намеренно, и это главное отличие рабочего шаблона от красивого.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Ключевая ставка Банка России меняется решениями совета директоров. Сроки в процессуальных кодексах правятся. Размеры государственных пошлин пересматриваются. Файл, который вы скачали, не обновляется сам — и шаблон с зашитой прошлогодней ставкой опаснее шаблона без неё: он выглядит готовым и даёт неверную сумму, которую вы отправите контрагенту за своей подписью.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Поэтому каждое число вы приносите сами, из источника, названного в этой таблице, на дату составления документа. Это занимает несколько минут и закрывает главный риск типового документа.</w:t>
      </w:r>
    </w:p>
    <w:p>
      <w:pPr>
        <w:pStyle w:val="Heading2"/>
        <w:keepNext/>
        <w:spacing w:after="120" w:before="26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Порядок работы с комплектом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Заполните словарь один раз — выпишите значения всех полей на отдельный лист.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Посчитайте проценты в файле расчёта: он даст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{{СУММА_ПРОЦЕНТОВ}}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и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{{ЧИСЛО_ДНЕЙ_ПРОСРОЧКИ}}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Подставьте значения в нужный документ, удалите пояснения в квадратных скобках, выберите один вариант там, где их два.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Проверьте поиском, что символов «{{» не осталось.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Отправьте так, как описано в разделе «Отправка» соответствующего документа.</w:t>
      </w:r>
    </w:p>
    <w:sectPr>
      <w:pgSz w:w="11906" w:h="16838" w:orient="portrait"/>
      <w:pgMar w:top="1133" w:right="850" w:bottom="1133" w:left="1417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—"/>
      <w:lvlJc w:val="left"/>
      <w:pPr>
        <w:ind w:left="48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2026-08-15T13:04:36.996Z</dcterms:created>
  <dcterms:modified xsi:type="dcterms:W3CDTF">2026-08-15T13:04:36.996Z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