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Чек-лист: расчёт метрами вместо денег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4"/>
        </w:rPr>
        <w:t xml:space="preserve">Рабочий лист к «Алгоритму: проверка расчёта метрами до входа»: алгоритм ведёт по шагам, лист фиксирует ответы. Заполняется до подписания договора подряда и любых бумаг по метрам. Не заполнен — решение о входе не принимается.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4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Форма сделки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Названа форма: ДДУ на подрядчика / уступка / иное (записать).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Если уступка — известен первый участник (не аффилированное ли лицо застройщика) и причина уступки.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Получены проекты договора и уступки. Проверены регистрация ДДУ и отсутствие подписанного сторонами передаточного акта или иного документа о передаче объекта (ч. 2 ст. 11 Закона № 214-ФЗ). Передача оформлена или стадия не подтверждена — СТОП до определения применимой формы сделки.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Предварительных договоров и устных «после ввода оформим» в схеме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Оплата и эскроу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Известно: открыт ли счёт эскроу по передаваемому ДДУ и в каком банке.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Есть справка/выписка банка о пополнении эскроу на сумму договора (письмо застройщика подтверждением не является). Форма запроса — «Запрос о состоянии счёта эскроу по передаваемому ДДУ».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В уступке прочитан пункт об обязательствах по внесению средств на эскроу: переходят ли они на подрядчика (памятка «Читаем уступку: пункт об обязательствах по эскроу»).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☐  Разделены цена ДДУ на эскроу, цена уступки цеденту и расчёт за работы. При неоплаченном ДДУ проверены одновременный перевод долга и согласие кредитора (ч. 1 ст. 11 Закона № 214-ФЗ; п. 2 ст. 391 ГК РФ). При цеденте — юридическом лице проверена уплата цены уступки после госрегистрации (ч. 3 ст. 11 Закона № 214-ФЗ); при зачёте работ — момент зачёта и встречные требования. Зачёт не подтверждает пополнение эскроу (ч. 3 ст. 15.4 Закона № 214-ФЗ).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Объект и застройщик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Проектная декларация в ЕИСЖС прочитана: срок ввода, переносы.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Разрешение на строительство действует; дата окончания записана.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Картотека арбитража проверена: иски, банкротство.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Федресурс проверен: намерений кредиторов нет.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Выписка ЕГРЮЛ свежая: статус действующий, собственник известен.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Состояние дома осмотрено; отставание от графика названо. Письменная фиксация статуса — «Запрос застройщику о статусе объекта».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Финансирование и продажи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Известен банк проектного финансирования.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☐  Условия проектного финансирования и ограничения по кредитной документации запрошены и проверены в доступной части; ход строительства и платежи подрядчикам сами по себе не подтверждают отсутствие ограничений.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Темпы продаж посмотрены: зарегистрированные ДДУ и динамика.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Понятно, почему застройщик платит метрами, а не деньгами — ответ записан словами.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Экономика метра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Реальная цена продажи по стакану предложений: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{{ЦЕНА_РЫНКА}}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Цена метра в расчёте с учётом скидки: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{{ЦЕНА_В_РАСЧЁТЕ}}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Ожидаемый срок продажи и дисконт быстрой продажи оценены.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Налоги при получении и продаже посчитаны с бухгалтером.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Итог: метр против денег — разница названа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Договор подряда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Денежная часть расчёта записана: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{{ДОЛЯ_ДЕНЬГАМИ}}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Передача прав привязана к закрытию объёмов, а не к вводу.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Судьба расчёта при срыве ввода / отзыве разрешения / остановке финансирования записана в договоре.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 сделки проверен независимым от застройщика юристом. Правило комплекта: каждый красный флаг — правовая оценка. Два и более — СТОП: до проверки не подписывайте сделку и не начинайте работы в счёт недвижимости. Возобновление — после документальной проверки рисков, согласования мер защиты, включая обеспечение, и письменного решения руководителя. Правовые препятствия должны быть устранены.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Красные флаги — правило остановки в разделе 6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Эскроу по передаваемым ДДУ не открыты или не пополнены.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☐  В уступке предлагается переход обязанности внести деньги на эскроу — размер долга, одновременный перевод и согласие кредитора проверены до решения.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ДДУ оформлены на аффилированное с застройщиком физлицо.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Проектное финансирование остановлено или есть признаки.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Срок ввода уже переносился.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В выдаче ЗОС отказано, замечания надзора не сняты.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Разрешение на строительство на исходе или истекло.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Предыдущий пул подрядчиков ушёл с объекта.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Скидка от метра заметно выше рыночной — цена риска, который продают вместе с метрами.</w:t>
      </w:r>
    </w:p>
    <w:sectPr>
      <w:pgSz w:w="11906" w:h="16838" w:orient="portrait"/>
      <w:pgMar w:top="850" w:right="850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2026-08-09T07:33:34.934Z</dcterms:created>
  <dcterms:modified xsi:type="dcterms:W3CDTF">2026-08-09T07:33:34.934Z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