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b/>
              </w:rPr>
              <w:t>Путь (шаги)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rPr>
          <w:cantSplit/>
          <w:tblHeader/>
        </w:trPr>
        <w:tc>
          <w:tcPr>
            <w:tcW w:type="dxa" w:w="2948"/>
          </w:tcPr>
          <w:p>
            <w:pPr>
              <w:keepNext/>
            </w:pPr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pPr>
              <w:keepNext/>
            </w:pPr>
            <w:r/>
            <w:r>
              <w:rPr>
                <w:b/>
              </w:rPr>
              <w:t>Следующий шаг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r>
        <w:rPr>
          <w:b w:val="0"/>
          <w:i w:val="0"/>
        </w:rPr>
        <w:t>Уведомление (файл 06) —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 w:val="0"/>
          <w:i w:val="0"/>
        </w:rPr>
        <w:t>Файл 06 — готовое письмо заказчику: в нём только реквизиты сторон, текст, таблица актов, приложение и подпись. Пояснений в письме нет: раздел «Важно, прочитайте до использования» и примечание о редакции-кандидате в начале этого файла относятся и к файлу 06 — прочитайте их до отправки.</w:t>
      </w:r>
    </w:p>
    <w:p>
      <w:r>
        <w:rPr>
          <w:b/>
          <w:i w:val="0"/>
        </w:rPr>
        <w:t>Как заполнить письмо</w:t>
      </w:r>
    </w:p>
    <w:p>
      <w:pPr>
        <w:pStyle w:val="ListBullet"/>
      </w:pPr>
      <w:r>
        <w:t>Таблица актов (строки 1–12 файла 06) — по одной строке на акт с листа «Долг по актам» файла 04 (строки 5–34): № и дата акта — колонка C, последний день срока оплаты — колонка D.</w:t>
      </w:r>
    </w:p>
    <w:p>
      <w:pPr>
        <w:pStyle w:val="ListBullet"/>
      </w:pPr>
      <w:r>
        <w:t>Замените все поля в двойных фигурных скобках; перед печатью в письме не должно остаться ни одного поля.</w:t>
      </w:r>
    </w:p>
    <w:p>
      <w:r>
        <w:rPr>
          <w:b/>
          <w:i w:val="0"/>
        </w:rP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Перед печатью или экспортом проверьте предпросмотр: даты и суммы должны быть видны целиком. Если вместо даты показаны ###, расширьте столбец «Дата» в рабочей копии. Выделите шапку таблицы (строка 4) и строки с операциями (с 5-й, 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r>
        <w:rPr>
          <w:b/>
          <w:i w:val="0"/>
        </w:rP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проценты по общему правилу не взыскиваются, если иное не предусмотрено законом или договором (п. 4 ст. 395 ГК РФ). Применение расчёта процентов — только после оценки специалиста.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r>
        <w:rPr>
          <w:b w:val="0"/>
          <w:i w:val="0"/>
        </w:rPr>
        <w:t>Для направления ответчику и в суд подготовьте отдельную чистую копию искового заявления из файла 10, раздел Б. Сохраните файл 10 под новым именем «Исковое заявление.docx»; в этой копии удалите всё до строки «В Арбитражный суд» и всё после подписи с датой. Удаляется и заголовок «Раздел Б». Сохраните шапку суда, реквизиты сторон, текст и требования, таблицу приложений и подпись. Исходный файл 10 с проверочным листом и описью сохраните для работы. Заполните копию, сохраните её в PDF и проверьте все страницы: в отправляемом документе не должно остаться разделов А, В, Г, инструкций или полей в двойных фигурных скобках.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b/>
              </w:rPr>
              <w:t>Где фиксируется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Последний день срока оплаты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02, лист «Маршрут»; файл 04, лист «Долг по актам»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Следующий день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04, лист «Долг по актам»; файл 08, лист «Акты»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переговоры и их протокол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05, раздел 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уведомление о просрочке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файлы 06, 07; файл 04, лист «Реестр передачи»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претензия с расчётом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файлы 09, 08, 07; файл 04, лист «Реестр передачи»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Срок из договора или закона, если ими установлен иной срок, а иначе — из ч. 5 ст. 4 АПК РФ, со дня направления претензии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можно обращаться в суд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02, лист «Контроль ответа»</w:t>
            </w:r>
          </w:p>
        </w:tc>
      </w:tr>
      <w:tr>
        <w:trPr>
          <w:cantSplit/>
        </w:trP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