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КС-2 и КС-3 перед сдачей</w:t>
      </w:r>
    </w:p>
    <w:p>
      <w:pPr>
        <w:pStyle w:val="Heading2"/>
      </w:pPr>
      <w:r>
        <w:t>1. Договор, объект и отчётный период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103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992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7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1.1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Номер и дата договора совпадают в КС-2, КС-3 и сопроводительных документах.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1.2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Стороны указаны по договору; застройщик, заказчик и генподрядчик не подменяют друг друга.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1.3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Объект и участок работ однозначно сопоставлены с договором и проектной документацией; расхождение названий объяснено.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1.4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Применяемые формы, состав приложений, канал передачи и порядок рассмотрения установлены договором или согласованы сторонами.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1.5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Период выполнения работ имеет действительные даты; начало не позже окончания, период согласован с КС-3.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1.6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Включённые работы действительно выполнены; основания объёмов — замеры, журнал КС-6а при его применении и иные принятые записи.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1.7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Срок выполнения сопоставлен с договором. При просрочке причина и позиция подрядчика оформлены, фактические даты не исправлены задним числом.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1.8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Смета, спецификации и изменения имеют номер, дату, согласованную редакцию и связь с предъявленными работами.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1.9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Изменённые объёмы и дополнительные работы выделены; основания согласования приложены, спорные суммы не смешаны с бесспорными.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1.10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Номера КС-2 уникальны в принятом учёте; пропуск или аннулирование объяснены, повторно предъявленные объёмы исключены.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2. КС-2: объём, стоимость и полномочия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103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992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7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2.1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Наименование и единица измерения каждой работы соответствуют согласованным документам и фактическому результату.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2.2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Количество подтверждено первичными замерами; перевод единиц измерения проверен, в том числе измерителей на 10/100 единиц.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2.3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Цена, расценка, коэффициенты и индексы применены по согласованному договорному порядку.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2.4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Стоимость строк и разделов пересчитана; учтён согласованный порядок округления, арифметические расхождения устранены.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2.5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Ранее принятые объёмы отделены от текущего периода; накопительный объём не превышает согласованный без объяснения и основания.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2.6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Материалы заказчика и подрядчика разграничены; исключено повторное включение их стоимости вопреки условиям договора.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2.7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Расшифровки ресурсов приложены, когда они требуются договором; их не обозначают как форму КС-4.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2.8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Приложения связаны с позициями и участками КС-2; АОСР не обозначаются как КС-11.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2.9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Подписи принадлежат уполномоченным представителям сторон; основание полномочий проверено. Внутренние визы учитываются отдельно.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2.10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Дата составления, должности, расшифровки подписей, исправления и печать при её необходимости оформлены по применимым требованиям.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t>Исторический источник унифицированного образца и указаний КС-2 — постановление Госкомстата № 100 от 11.11.1999. Применимость формы определяйте по учетной политике, договору и специальным нормам.</w:t>
      </w:r>
    </w:p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3. КС-3: период, накопительные суммы и НДС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103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992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7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3.1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КС-3 сформирована на основании относящихся к ней КС-2 и иных документально обоснованных работ и затрат.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3.2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 сверке перечислены все относящиеся КС-2; один акт не сопоставляется с общей суммой нескольких актов без расшифровки.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3.3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за отчётный период сверяется с работами и затратами именно этого периода.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3.4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с начала выполнения работ сверяется с предыдущим накопительным итогом и текущим периодом.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3.5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с начала года проверяется отдельно; при переходе года он не подменяет итог с начала работ.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3.6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Дополнительные затраты включены по договорному основанию и подтверждающим документам, а не как необъяснённая разница.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3.7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Итог без НДС, НДС и итог с НДС сверены раздельно; суммы с налогом не сравниваются с суммами без налога.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3.8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Ставка и режим НДС применены к соответствующим операциям; при разных ставках сохранена расшифровка, универсальная ставка не подставлена.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3.9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Округление строк и итогов сопоставлено с согласованным порядком. Остаточная разница объяснена, а не скрыта ручной подгонкой.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3.10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Стоимость работ по КС-3 отделена от остатка к оплате: аванс, удержания и предыдущие платежи учтены в отдельной сверке расчётов.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t>Исторический источник унифицированного образца и указаний КС-3 — постановление Госкомстата № 100 от 11.11.1999. Применимость формы определяйте по учетной политике, договору и специальным нормам.</w:t>
      </w:r>
    </w:p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4. Приложения, замечания и передача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103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992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7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4.1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Перечень обязательных приложений утверждён/согласован для объекта и договора; он перенесён в реестр №02.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4.2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Для каждого требуемого приложения заполнены вид, номер, действительная дата, листы, статус проверки; пустые поля не дают «ГОТОВО».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4.3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АОСР оформлены на применимые скрытые работы по проекту и установленному перечню; не на каждую строку КС-2 автоматически.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4.4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 АОСР указаны место, работы, проектные основания, материалы, подтверждающие документы, даты и разрешённые последующие работы.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4.5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Участники и подписи АОСР определены по применимости; проектировщик — при его привлечении в предусмотренном порядке.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4.6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Исполнительные схемы содержат проверяемые привязки, отметки, фактические параметры и связь с действующей проектной/рабочей документацией.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4.7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Документы на материалы связаны с маркой и партией; проверены их область действия, реквизиты и применимые условия действительности.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4.8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Все замечания внесены в №04: указаны ответственный, срок, результат повторной проверки и решение по комплекту.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4.9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Состав передачи и доказательство вручения записаны в №06; отмечены получатель, дата и реквизиты подтверждения.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Lines/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4.10</w:t>
            </w:r>
          </w:p>
        </w:tc>
        <w:tc>
          <w:tcPr>
            <w:tcW w:type="dxa" w:w="7992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Возвраты и ответы заказчика отражены в №06 и письме №05; после исправления зафиксирована новая передача и сохранены рабочие доказательства.</w:t>
            </w:r>
          </w:p>
        </w:tc>
        <w:tc>
          <w:tcPr>
            <w:tcW w:type="dxa" w:w="17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t>Основание: приказ Минстроя № 344/пр от 16.05.2023, ред. приказа № 369/пр от 23.06.2025; официальное изменение: https://publication.pravo.gov.ru/document/0001202507220009 (дата доступа: 15.10.2026); приложения № 1 и № 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Проверочный лист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26303/d7e7d105e01770fac8296c4832201fd3f313d0b5/" TargetMode="External"/><Relationship Id="rId12" Type="http://schemas.openxmlformats.org/officeDocument/2006/relationships/hyperlink" Target="https://www.consultant.ru/document/cons_doc_LAW_26303/79431a20166e6ba765b35c449582152efac580a8/" TargetMode="External"/><Relationship Id="rId13" Type="http://schemas.openxmlformats.org/officeDocument/2006/relationships/hyperlink" Target="https://legalacts.ru/doc/prikaz-minstroja-rossii-ot-16052023-n-344pr-ob-utverzhden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КС-2 и КС-3 перед сдачей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