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0"/>
      </w:pPr>
      <w:r>
        <w:rPr>
          <w:rFonts w:ascii="Times New Roman" w:cs="Times New Roman" w:eastAsia="Times New Roman" w:hAnsi="Times New Roman"/>
          <w:b/>
          <w:bCs/>
          <w:i w:val="0"/>
          <w:color w:val="323539"/>
          <w:sz w:val="32"/>
          <w:szCs w:val="32"/>
        </w:rPr>
        <w:t xml:space="preserve">Словарь полей комплекта «Расчёт метрами: проверка до подписи»</w:t>
      </w:r>
    </w:p>
    <w:p>
      <w:pPr>
        <w:spacing w:after="60" w:line="276" w:before="0"/>
      </w:pPr>
      <w:r>
        <w:rPr>
          <w:rFonts w:ascii="Times New Roman" w:cs="Times New Roman" w:eastAsia="Times New Roman" w:hAnsi="Times New Roman"/>
          <w:i w:val="0"/>
          <w:iCs w:val="0"/>
          <w:color w:val="323539"/>
          <w:sz w:val="24"/>
          <w:szCs w:val="24"/>
        </w:rPr>
        <w:t xml:space="preserve">Ключ к заполнению документов комплекта: каждое поле в двойных фигурных скобках — что в него вписать и откуда взять значение.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keepNext w:val="0"/>
              <w:keepLines w:val="0"/>
              <w:spacing w:after="20" w:line="276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color w:val="323539"/>
                <w:sz w:val="16"/>
                <w:szCs w:val="24"/>
              </w:rPr>
              <w:t xml:space="preserve">Важно, прочитайте до использования</w:t>
            </w:r>
          </w:p>
          <w:p>
            <w:pPr>
              <w:keepNext w:val="0"/>
              <w:keepLines w:val="0"/>
              <w:spacing w:after="20" w:line="276" w:before="0"/>
            </w:pPr>
            <w:r>
              <w:rPr>
                <w:rFonts w:ascii="Times New Roman" w:cs="Times New Roman" w:eastAsia="Times New Roman" w:hAnsi="Times New Roman"/>
                <w:i w:val="0"/>
                <w:color w:val="323539"/>
                <w:sz w:val="16"/>
                <w:szCs w:val="24"/>
              </w:rPr>
              <w:t>Комплект помогает проверить предложение о расчёте квартирами, запросить подтверждающие документы и сопоставить оплаченное право с обязательствами по ДДУ. Решение о сделке принимается по проверенным фактам и документам конкретного объекта.</w:t>
            </w:r>
          </w:p>
          <w:p>
            <w:pPr>
              <w:keepNext w:val="0"/>
              <w:keepLines w:val="0"/>
              <w:spacing w:after="20" w:line="276" w:before="0"/>
            </w:pPr>
            <w:r>
              <w:rPr>
                <w:rFonts w:ascii="Times New Roman" w:cs="Times New Roman" w:eastAsia="Times New Roman" w:hAnsi="Times New Roman"/>
                <w:i w:val="0"/>
                <w:color w:val="323539"/>
                <w:sz w:val="16"/>
                <w:szCs w:val="24"/>
              </w:rPr>
              <w:t>До подписания сопоставьте условия ДДУ, уступки и документы банка с ч. 3 ст. 15.4 и ст. 11 Закона № 214-ФЗ, а при переводе долга — с п. 2 ст. 391 ГК РФ.</w:t>
            </w:r>
          </w:p>
          <w:p>
            <w:pPr>
              <w:keepNext w:val="0"/>
              <w:keepLines w:val="0"/>
              <w:spacing w:after="20" w:line="276" w:before="0"/>
            </w:pPr>
            <w:r>
              <w:rPr>
                <w:rFonts w:ascii="Times New Roman" w:cs="Times New Roman" w:eastAsia="Times New Roman" w:hAnsi="Times New Roman"/>
                <w:i w:val="0"/>
                <w:color w:val="323539"/>
                <w:sz w:val="16"/>
                <w:szCs w:val="24"/>
              </w:rPr>
              <w:t xml:space="preserve">Граница проходит по стадии. Пока сделка обсуждается и бумаги не подписаны — комплект работает. Уступка уже подписана и идёт спор — дальше работа юриста по конкретным документам. Застройщик в процедуре банкротства — это комплект «Реестр требований кредиторов» и юрист, а не эти файлы.</w:t>
            </w:r>
          </w:p>
          <w:p>
            <w:pPr>
              <w:keepNext w:val="0"/>
              <w:keepLines w:val="0"/>
              <w:spacing w:after="20" w:line="276" w:before="0"/>
            </w:pPr>
            <w:r>
              <w:rPr>
                <w:rFonts w:ascii="Times New Roman" w:cs="Times New Roman" w:eastAsia="Times New Roman" w:hAnsi="Times New Roman"/>
                <w:i w:val="0"/>
                <w:color w:val="323539"/>
                <w:sz w:val="16"/>
                <w:szCs w:val="24"/>
              </w:rPr>
              <w:t>При неполном пополнении эскроу отдельно проверьте, кто обязан внести недостающую сумму, условия одновременного перевода долга и согласие кредитора. Подтверждение расчётов между сторонами не означает поступления средств на счёт эскроу.</w:t>
            </w:r>
          </w:p>
        </w:tc>
      </w:tr>
    </w:tbl>
    <w:p>
      <w:pPr>
        <w:spacing w:after="60" w:line="276" w:before="0"/>
      </w:pPr>
    </w:p>
    <w:p>
      <w:pPr>
        <w:pStyle w:val="Heading2"/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i w:val="0"/>
          <w:color w:val="323539"/>
          <w:sz w:val="26"/>
          <w:szCs w:val="26"/>
        </w:rPr>
        <w:t xml:space="preserve">Как пользоваться словарём</w:t>
      </w:r>
    </w:p>
    <w:p>
      <w:pPr>
        <w:pStyle w:val="ListParagraph"/>
        <w:numPr>
          <w:ilvl w:val="0"/>
          <w:numId w:val="2"/>
        </w:numPr>
        <w:spacing w:after="60" w:line="276" w:before="0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Заполняйте поля по этой таблице, затем поиском по документу убедитесь, что скобок «{{» не осталось: незаполненное поле в отправленном письме хуже задержки на день.</w:t>
      </w:r>
    </w:p>
    <w:p>
      <w:pPr>
        <w:pStyle w:val="ListParagraph"/>
        <w:numPr>
          <w:ilvl w:val="0"/>
          <w:numId w:val="2"/>
        </w:numPr>
        <w:spacing w:after="60" w:line="276" w:before="0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Поля с вариантами через косую черту (например, основание запроса) заполняются выбором одного варианта; невыбранный удаляется целиком.</w:t>
      </w:r>
    </w:p>
    <w:p>
      <w:pPr>
        <w:pStyle w:val="ListParagraph"/>
        <w:numPr>
          <w:ilvl w:val="0"/>
          <w:numId w:val="2"/>
        </w:numPr>
        <w:spacing w:after="60" w:line="276" w:before="0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Блок «Стороны» общий с остальными комплектами: значения, подставленные в документы других комплектов, переносятся сюда без изменений.</w:t>
      </w:r>
    </w:p>
    <w:p>
      <w:pPr>
        <w:pStyle w:val="Heading2"/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i w:val="0"/>
          <w:color w:val="323539"/>
          <w:sz w:val="26"/>
          <w:szCs w:val="26"/>
        </w:rPr>
        <w:t xml:space="preserve">Стороны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98"/>
        <w:gridCol w:w="3458"/>
        <w:gridCol w:w="2551"/>
      </w:tblGrid>
      <w:tr>
        <w:trPr>
          <w:tblHeader/>
        </w:trPr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color w:val="323539"/>
                <w:sz w:val="16"/>
                <w:szCs w:val="22"/>
              </w:rPr>
              <w:t xml:space="preserve">Поле</w:t>
            </w:r>
          </w:p>
        </w:tc>
        <w:tc>
          <w:tcPr>
            <w:tcW w:type="dxa" w:w="33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color w:val="323539"/>
                <w:sz w:val="16"/>
                <w:szCs w:val="22"/>
              </w:rPr>
              <w:t xml:space="preserve">Что вписать</w:t>
            </w:r>
          </w:p>
        </w:tc>
        <w:tc>
          <w:tcPr>
            <w:tcW w:type="dxa" w:w="28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color w:val="323539"/>
                <w:sz w:val="16"/>
                <w:szCs w:val="22"/>
              </w:rPr>
              <w:t xml:space="preserve">Откуда взять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{{НАИМЕНОВАНИЕ_ПОДРЯДЧИКА}}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Полное наименование вашей организации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учредительные документы, 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{{ИНН_ПОДРЯДЧИКА}}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{{ОГРН_ПОДРЯДЧИКА}}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ИНН и ОГРН вашей организации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{{АДРЕС_ПОДРЯДЧИКА}}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Юридический адрес вашей организации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{{КОНТАКТЫ_ПОДРЯДЧИКА}}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Телефон и адрес электронной почты для суда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ваши рабочие контакты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{{БАНКОВСКИЕ_РЕКВИЗИТЫ_ПОДРЯДЧИКА}}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Расчётный счёт, банк, БИК, корсчёт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справка банка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{{НАИМЕНОВАНИЕ_ЗАКАЗЧИКА}}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Полное наименование должника — стороны договора, обязанной платить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договор и актуальная 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{{ИНН_ЗАКАЗЧИКА}}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{{ОГРН_ЗАКАЗЧИКА}}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ИНН и ОГРН должника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выписка ЕГРЮЛ; для иска они обязательны (ст. 125 АПК РФ)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{{АДРЕС_ЗАКАЗЧИКА}}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Юридический адрес должника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свежая выписка ЕГРЮЛ, а не шапка договора: адрес мог смениться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{{ДОЛЖНОСТЬ_ПОДПИСАНТА}}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{{ФИО_ПОДПИСАНТА}}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Кто подписывает от вашей организации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устав, доверенность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{{ОСНОВАНИЕ_ПОЛНОМОЧИЙ}}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«действующего на основании Устава» либо реквизиты доверенности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устав, доверенность</w:t>
            </w:r>
          </w:p>
        </w:tc>
      </w:tr>
    </w:tbl>
    <w:p>
      <w:pPr>
        <w:spacing w:after="60" w:line="276" w:before="0"/>
      </w:pPr>
    </w:p>
    <w:p>
      <w:pPr>
        <w:pStyle w:val="Heading2"/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i w:val="0"/>
          <w:color w:val="323539"/>
          <w:sz w:val="26"/>
          <w:szCs w:val="26"/>
        </w:rPr>
        <w:t xml:space="preserve">Поля комплекта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98"/>
        <w:gridCol w:w="3458"/>
        <w:gridCol w:w="2551"/>
      </w:tblGrid>
      <w:tr>
        <w:trPr>
          <w:tblHeader/>
        </w:trPr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color w:val="323539"/>
                <w:sz w:val="16"/>
                <w:szCs w:val="22"/>
              </w:rPr>
              <w:t xml:space="preserve">Поле</w:t>
            </w:r>
          </w:p>
        </w:tc>
        <w:tc>
          <w:tcPr>
            <w:tcW w:type="dxa" w:w="33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color w:val="323539"/>
                <w:sz w:val="16"/>
                <w:szCs w:val="22"/>
              </w:rPr>
              <w:t xml:space="preserve">Что вписать</w:t>
            </w:r>
          </w:p>
        </w:tc>
        <w:tc>
          <w:tcPr>
            <w:tcW w:type="dxa" w:w="28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color w:val="323539"/>
                <w:sz w:val="16"/>
                <w:szCs w:val="22"/>
              </w:rPr>
              <w:t xml:space="preserve">Откуда взять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{{НАИМЕНОВАНИЕ_АДРЕСАТА}}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{{АДРЕС_АДРЕСАТА}}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Кому направляется запрос о статусе объекта: ваша сторона по договору либо застройщик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договор, свежая 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{{НАИМЕНОВАНИЕ_ЦЕДЕНТА_ИЛИ_ЗАСТРОЙЩИКА}}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Адресат запроса о состоянии счёта эскроу: текущий участник долевого строительства (цедент) либо застройщик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проект договора уступки, ДДУ, выписка ЕГРЮЛ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{{ИСХОДЯЩИЙ_НОМЕР}}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{{ДАТА_ДОКУМЕНТА}}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Реквизиты вашего письма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ваш журнал исходящих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{{НАИМЕНОВАНИЕ_ОБЪЕКТА_ПО_ПРОЕКТНОЙ_ДЕКЛАРАЦИИ}}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Наименование и адрес объекта долевого строительства дословно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проектная декларация в ЕИСЖС (наш.дом.рф)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{{ОСНОВАНИЕ_ЗАПРОСА: …}}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Выбрать один вариант из фигурных скобок: предложение о заключении договора либо исполнение действующего договора; невыбранный вариант удалить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ваша ситуация; реквизиты договора — из самого договора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{{ЧТО_ЗАВИСИТ_ОТ_ВВОДА: …}}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Выбрать один вариант: сроки расчётов по договору либо условия предлагаемого договора; невыбранный вариант удалить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ваша ситуация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{{СРОК_ОТВЕТА_НА_ЗАПРОС}}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Дата, до которой вы просите ответить. Назначаете сами, разумный рабочий срок; законом срок ответа на такой запрос не установлен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ваш календарь сделки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{{АДРЕС_ДЛЯ_ОТВЕТА}}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{{ЭЛЕКТРОННАЯ_ПОЧТА}}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Куда направить ответ: почтовый адрес и электронная почта, согласованная сторонами для обмена документами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ваши рабочие контакты, договор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{{НОМЕР_ДДУ}}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{{ДАТА_ДДУ}}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Реквизиты договора участия в долевом строительстве, права по которому вам предлагают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сам ДДУ; регистрация проверяется по выписке ЕГРН на земельный участок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{{ОПИСАНИЕ_ОБЪЕКТА_ДОЛЕВОГО_СТРОИТЕЛЬСТВА}}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Квартира или иной объект по ДДУ: строительный номер, площадь, этаж — как в договоре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предмет ДДУ, приложения к нему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{{НАИМЕНОВАНИЕ_БАНКА}}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{{НАИМЕНОВАНИЕ_БАНКА_ЕСЛИ_ИЗВЕСТЕН}}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Банк, в котором открыт счёт эскроу по передаваемому ДДУ. Неизвестен — поле в запросе оставить пустым и спросить в пункте 1 запроса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ДДУ (раздел о порядке оплаты), проектная декларация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{{ДАТА_СПРАВКИ}}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Дата справки банка об оплате цены ДДУ — в формулировке пункта уступки о переданном оплаченном праве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сама справка (выписка) банка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{{ЦЕНА_РЫНКА}}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Реальная цена продажи такой квартиры сегодня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стакан предложений по дому и району, а не прайс застройщика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{{ЦЕНА_В_РАСЧЁТЕ}}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Цена метра, по которой квартиру засчитывают в счёт работ, с учётом скидки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предложение застройщика, проект договора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false"/>
                <w:color w:val="323539"/>
                <w:sz w:val="16"/>
                <w:szCs w:val="22"/>
              </w:rPr>
              <w:t xml:space="preserve">{{ДОЛЯ_ДЕНЬГАМИ}}</w:t>
            </w:r>
          </w:p>
        </w:tc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Согласованная денежная часть расчёта: метрами — не более остальной доли</w:t>
            </w:r>
          </w:p>
        </w:tc>
        <w:tc>
          <w:tcPr>
            <w:tcW w:type="dxa" w:w="2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0"/>
              <w:keepLines w:val="0"/>
              <w:spacing w:after="20" w:line="24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0"/>
                <w:color w:val="323539"/>
                <w:sz w:val="16"/>
                <w:szCs w:val="22"/>
              </w:rPr>
              <w:t xml:space="preserve">ваши переговоры; итог записывается в договор подряда</w:t>
            </w:r>
          </w:p>
        </w:tc>
      </w:tr>
    </w:tbl>
    <w:p>
      <w:pPr>
        <w:spacing w:after="60" w:line="276" w:before="0"/>
      </w:pPr>
    </w:p>
    <w:p>
      <w:pPr>
        <w:pStyle w:val="Heading2"/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i w:val="0"/>
          <w:color w:val="323539"/>
          <w:sz w:val="26"/>
          <w:szCs w:val="26"/>
        </w:rPr>
        <w:t xml:space="preserve">Примечание</w:t>
      </w:r>
    </w:p>
    <w:p>
      <w:pPr>
        <w:spacing w:after="60" w:line="276" w:before="0"/>
      </w:pPr>
      <w:r>
        <w:rPr>
          <w:rFonts w:ascii="Times New Roman" w:cs="Times New Roman" w:eastAsia="Times New Roman" w:hAnsi="Times New Roman"/>
          <w:i w:val="0"/>
          <w:color w:val="323539"/>
          <w:sz w:val="24"/>
          <w:szCs w:val="24"/>
        </w:rPr>
        <w:t xml:space="preserve">В полях этого комплекта нет ни одной ставки, ни одного срока и ни одного размера платежа, установленного законом: такие значения берутся из действующей редакции нормы на дату проверки, а не из скачанного файла.</w:t>
      </w:r>
    </w:p>
    <w:sectPr>
      <w:pgSz w:w="11906" w:h="16838" w:orient="portrait"/>
      <w:pgMar w:top="510" w:right="850" w:bottom="51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i w:val="0"/>
      <w:color w:val="323539"/>
      <w:sz w:val="56"/>
      <w:szCs w:val="56"/>
    </w:rPr>
  </w:style>
  <w:style w:type="paragraph" w:styleId="Heading1">
    <w:name w:val="Heading 1"/>
    <w:basedOn w:val="Normal"/>
    <w:next w:val="Normal"/>
    <w:qFormat/>
    <w:rPr>
      <w:i w:val="0"/>
      <w:color w:val="323539"/>
      <w:sz w:val="32"/>
      <w:szCs w:val="32"/>
    </w:rPr>
  </w:style>
  <w:style w:type="paragraph" w:styleId="Heading2">
    <w:name w:val="Heading 2"/>
    <w:basedOn w:val="Normal"/>
    <w:next w:val="Normal"/>
    <w:qFormat/>
    <w:rPr>
      <w:i w:val="0"/>
      <w:color w:val="323539"/>
      <w:sz w:val="26"/>
      <w:szCs w:val="26"/>
    </w:rPr>
  </w:style>
  <w:style w:type="paragraph" w:styleId="Heading3">
    <w:name w:val="Heading 3"/>
    <w:basedOn w:val="Normal"/>
    <w:next w:val="Normal"/>
    <w:qFormat/>
    <w:rPr>
      <w:i w:val="0"/>
      <w:color w:val="323539"/>
      <w:sz w:val="24"/>
      <w:szCs w:val="24"/>
    </w:rPr>
  </w:style>
  <w:style w:type="paragraph" w:styleId="Heading4">
    <w:name w:val="Heading 4"/>
    <w:basedOn w:val="Normal"/>
    <w:next w:val="Normal"/>
    <w:qFormat/>
    <w:rPr>
      <w:i w:val="0"/>
      <w:iCs/>
      <w:color w:val="323539"/>
    </w:rPr>
  </w:style>
  <w:style w:type="paragraph" w:styleId="Heading5">
    <w:name w:val="Heading 5"/>
    <w:basedOn w:val="Normal"/>
    <w:next w:val="Normal"/>
    <w:qFormat/>
    <w:rPr>
      <w:i w:val="0"/>
      <w:color w:val="323539"/>
    </w:rPr>
  </w:style>
  <w:style w:type="paragraph" w:styleId="Heading6">
    <w:name w:val="Heading 6"/>
    <w:basedOn w:val="Normal"/>
    <w:next w:val="Normal"/>
    <w:qFormat/>
    <w:rPr>
      <w:i w:val="0"/>
      <w:color w:val="323539"/>
    </w:rPr>
  </w:style>
  <w:style w:type="paragraph" w:styleId="Strong">
    <w:name w:val="Strong"/>
    <w:basedOn w:val="Normal"/>
    <w:next w:val="Normal"/>
    <w:qFormat/>
    <w:rPr>
      <w:b/>
      <w:bCs/>
      <w:i w:val="0"/>
      <w:color w:val="323539"/>
    </w:rPr>
  </w:style>
  <w:style w:type="paragraph" w:styleId="ListParagraph">
    <w:name w:val="List Paragraph"/>
    <w:basedOn w:val="Normal"/>
    <w:qFormat/>
    <w:rPr>
      <w:i w:val="0"/>
      <w:color w:val="323539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i w:val="0"/>
      <w:color w:val="323539"/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i w:val="0"/>
      <w:color w:val="323539"/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2026-08-09T07:33:34.609Z</dcterms:created>
  <dcterms:modified xsi:type="dcterms:W3CDTF">2026-08-09T07:33:34.609Z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