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widowControl/>
        <w:spacing w:after="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Кому: ООО «Условный участник ДДУ»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/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Адрес: г. Красноярск, ул. Примерная, д. 1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/>
      </w:r>
    </w:p>
    <w:p>
      <w:pPr>
        <w:widowControl/>
        <w:spacing w:after="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От: ООО «Условный подрядчик»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/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Адрес: г. Красноярск, ул. Примерная, д. 2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/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Исх. № НСП-ТЕСТ-23 от 23.10.2026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/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/>
      </w:r>
    </w:p>
    <w:p>
      <w:pPr>
        <w:widowControl/>
        <w:spacing w:after="0" w:line="259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4"/>
        </w:rPr>
        <w:t xml:space="preserve">ЗАПРОС о подтверждении оплаты по договору участия</w:t>
      </w:r>
    </w:p>
    <w:p>
      <w:pPr>
        <w:widowControl/>
        <w:spacing w:after="80" w:line="259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4"/>
        </w:rPr>
        <w:t xml:space="preserve">в долевом строительстве № УЧ-42/26 от 01.09.2026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/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Уважаемые коллеги!</w:t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В связи с предложением об уступке нам прав по договору участия в долевом строительстве № УЧ-42/26 от 01.09.2026 в отношении объекта помещение № 101, 60 м², корпус 1 условного жилого дома просим до подписания договора уступки предоставить: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/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/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/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/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1. Справку (выписку) банка Условный банк А об открытии счёта эскроу по указанному договору и о поступлении на него денежных средств в размере цены договора.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/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/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2. Сведения о том, в полном ли объёме исполнена обязанность участника долевого строительства по уплате цены договора; если в части — в каком размере.</w:t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3. Проект уступки: условия перехода долга по ДДУ, цена уступки и расчёт с цедентом. Если цедент — юридическое лицо, цена уступки оплачивается после госрегистрации соглашения (ч. 3 ст. 11 Закона № 214-ФЗ). При зачёте работ — основание и момент зачёта.</w:t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>Документы просим направить в срок до 30.10.2026 на адрес г. Красноярск, ул. Примерная, д. 2 либо на электронную почту contractor@example.com.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>Подтверждение оплаты цены ДДУ существенно для решения о сделке. Если цена не оплачена полностью, уступка прав по ч. 1 ст. 11 Закона № 214-ФЗ допускается одновременно с переводом долга на нового участника в порядке, установленном ГК РФ; перевод долга требует согласия кредитора (п. 2 ст. 391 ГК РФ). Просим отдельно указать размер неоплаченной цены и документы, подтверждающие условия её погашения.</w:t>
      </w:r>
    </w:p>
    <w:p>
      <w:pPr>
        <w:widowControl/>
        <w:spacing w:after="0" w:line="259" w:lineRule="auto"/>
      </w:pP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Директор</w:t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Иванов И. И. (учебный пример)</w:t>
      </w:r>
    </w:p>
    <w:p>
      <w:pPr>
        <w:widowControl/>
      </w:pPr>
      <w:r>
        <w:rPr>
          <w:i w:val="0"/>
          <w:color w:val="323539"/>
        </w:rPr>
      </w:r>
    </w:p>
    <w:p>
      <w:pPr>
        <w:pStyle w:val="Heading1"/>
        <w:widowControl/>
        <w:pBdr>
          <w:top w:val="single" w:sz="12" w:space="5" w:color="B08D57"/>
        </w:pBdr>
        <w:spacing w:after="80" w:before="240"/>
        <w:pageBreakBefore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32"/>
          <w:szCs w:val="32"/>
        </w:rPr>
        <w:t>Запрос о наполнении счёта эскроу по передаваемому ДДУ</w:t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iCs/>
          <w:color w:val="323539"/>
          <w:sz w:val="22"/>
          <w:szCs w:val="24"/>
        </w:rPr>
        <w:t>Документальное подтверждение наполнения счёта эскроу по ДДУ, права по которому предлагаются в счёт выполненных работ. Адресату направляется заполненная форма от «Кому:» до подписи перед разрывом страницы. Следующие пояснения покупателю не направляются.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line="259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color w:val="323539"/>
                <w:sz w:val="22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80" w:line="259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2"/>
                <w:szCs w:val="24"/>
              </w:rPr>
              <w:t>Комплект предназначен для проверки расчётов жилыми и офисными помещениями, машино-местами либо правами на них. По единому алгоритму оцениваются форма передачи, зарегистрированные права, обременения и стоимость объекта. При уступке прав по ДДУ дополнительно проверяется наполнение соответствующего счёта эскроу.</w:t>
            </w:r>
          </w:p>
          <w:p>
            <w:pPr>
              <w:spacing w:after="80" w:line="259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2"/>
                <w:szCs w:val="24"/>
              </w:rPr>
              <w:t>До подписания проверьте документы о праве на объект и обременениях. При уступке прав по ДДУ дополнительно сопоставьте ДДУ, уступку и банковские подтверждения с применимыми положениями Закона № 214-ФЗ; при переводе долга — с п. 2 ст. 391 ГК РФ.</w:t>
            </w:r>
          </w:p>
          <w:p>
            <w:pPr>
              <w:spacing w:after="80" w:line="259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2"/>
                <w:szCs w:val="24"/>
              </w:rPr>
              <w:t>Граница проходит по стадии. Проверка проводится на стадии согласования сделки до подписания договора и документов о передаче. При возникших разногласиях после подписания документы передаются для правовой оценки. При банкротстве застройщика отдельно проверяется порядок предъявления требований в соответствующей процедуре.</w:t>
            </w:r>
          </w:p>
          <w:p>
            <w:pPr>
              <w:spacing w:after="0" w:line="259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2"/>
                <w:szCs w:val="24"/>
              </w:rPr>
              <w:t>При неполном пополнении эскроу отдельно проверьте, кто обязан внести недостающую сумму, условия одновременного перевода долга и согласие кредитора. Подтверждение расчётов между сторонами не означает поступления средств на счёт эскроу.</w:t>
            </w:r>
          </w:p>
        </w:tc>
      </w:tr>
    </w:tbl>
    <w:p>
      <w:pPr>
        <w:widowControl/>
        <w:spacing w:after="80" w:line="259" w:lineRule="auto"/>
      </w:pP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iCs/>
          <w:color w:val="323539"/>
          <w:sz w:val="22"/>
          <w:szCs w:val="24"/>
        </w:rPr>
        <w:t xml:space="preserve">Заполните поля в двойных фигурных скобках по «Словарю полей» и убедитесь поиском, что скобок «{{» в документе не осталось.</w:t>
      </w:r>
    </w:p>
    <w:p>
      <w:pPr>
        <w:widowControl/>
        <w:pBdr>
          <w:bottom w:val="single" w:color="BFBFBF" w:sz="6" w:space="6"/>
        </w:pBdr>
        <w:spacing w:after="80" w:before="120"/>
      </w:pPr>
    </w:p>
    <w:p>
      <w:pPr>
        <w:pStyle w:val="Heading1"/>
        <w:widowControl/>
        <w:spacing w:after="80" w:before="24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32"/>
          <w:szCs w:val="32"/>
        </w:rPr>
        <w:t xml:space="preserve">Как пользоваться этим документом</w:t>
      </w:r>
    </w:p>
    <w:p>
      <w:pPr>
        <w:widowControl/>
        <w:spacing w:after="40" w:line="259" w:lineRule="auto"/>
      </w:pPr>
      <w:r>
        <w:rPr>
          <w:rFonts w:ascii="Times New Roman" w:cs="Times New Roman" w:eastAsia="Times New Roman" w:hAnsi="Times New Roman"/>
          <w:i w:val="0"/>
          <w:iCs/>
          <w:color w:val="323539"/>
          <w:sz w:val="20"/>
          <w:szCs w:val="24"/>
        </w:rPr>
        <w:t xml:space="preserve">Примечание покупателю. Направляется заполненная форма перед разрывом страницы; все последующие пояснения покупателю в письмо не включаются.</w:t>
      </w:r>
    </w:p>
    <w:p>
      <w:pPr>
        <w:pStyle w:val="Heading2"/>
        <w:keepNext/>
        <w:widowControl/>
        <w:spacing w:after="6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6"/>
        </w:rPr>
        <w:t xml:space="preserve">Назначение</w:t>
      </w:r>
    </w:p>
    <w:p>
      <w:pPr>
        <w:widowControl/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Получить документальное подтверждение того, оплачен ли ДДУ, права по которому вам предлагают в счёт работ: открыт ли счёт эскроу, в каком банке, пополнен ли на цену договора. Подтверждение — справка или выписка банка. Письмо застройщика или цедента подтверждением не является: это заявление стороны, заинтересованной в сделке.</w:t>
      </w:r>
    </w:p>
    <w:p>
      <w:pPr>
        <w:widowControl/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>Ответ позволяет установить, какое право предлагают передать. При подтверждённом поступлении полной цены ДДУ на эскроу по ч. 3 ст. 15.4 Закона № 214-ФЗ проверяйте условия уступки оплаченного права. При неполной оплате нельзя считать обязанность доплатить автоматически перешедшей: требуется одновременный перевод долга с соблюдением требований ГК РФ, включая согласие кредитора. Сопоставьте ответ, ДДУ и проект уступки с памяткой «Читаем уступку: пункт об обязательствах по эскроу».</w:t>
      </w:r>
    </w:p>
    <w:p>
      <w:pPr>
        <w:widowControl/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Сверьте оплату ДДУ по банковскому подтверждению (ч. 3 ст. 15.4 Закона № 214-ФЗ). При неполной оплате уступка требует одновременного перевода долга с соблюдением ГК РФ и согласия кредитора. Отдельно проверьте цену уступки: при цеденте — юридическом лице её уплата следует за госрегистрацией (ч. 3 ст. 11 Закона № 214-ФЗ). При зачёте работ проверьте встречные требования и момент зачёта: сам зачёт не подтверждает оплату ДДУ на эскроу.</w:t>
      </w:r>
    </w:p>
    <w:p>
      <w:pPr>
        <w:pStyle w:val="Heading2"/>
        <w:keepNext/>
        <w:widowControl/>
        <w:spacing w:after="6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6"/>
        </w:rPr>
        <w:t xml:space="preserve">Когда применяется</w:t>
      </w:r>
    </w:p>
    <w:p>
      <w:pPr>
        <w:widowControl/>
        <w:spacing w:after="40" w:line="259" w:lineRule="auto"/>
      </w:pPr>
      <w:r>
        <w:rPr>
          <w:rFonts w:ascii="Times New Roman" w:hAnsi="Times New Roman"/>
          <w:sz w:val="20"/>
        </w:rPr>
        <w:t>Этот текст запроса применяется к уступке существующего ДДУ. При новом ДДУ до его регистрации проверяются проект, цена, банк и будущий плательщик; требование уже наполненного эскроу к этой стадии не применяется. После регистрации контролируются срок и фактическое внесение денег. Для готового объекта проверяются ЕГРН и документы передачи, а не эскроу.</w:t>
      </w:r>
    </w:p>
    <w:p>
      <w:pPr>
        <w:pStyle w:val="Heading2"/>
        <w:keepNext/>
        <w:widowControl/>
        <w:spacing w:after="6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6"/>
        </w:rPr>
        <w:t xml:space="preserve">Кому адресуется</w:t>
      </w:r>
    </w:p>
    <w:p>
      <w:pPr>
        <w:widowControl/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Банк по договору счёта эскроу отвечает его сторонам, а не будущему приобретателю права. Поэтому запрос направляется стороне сделки:</w:t>
      </w:r>
    </w:p>
    <w:p>
      <w:pPr>
        <w:pStyle w:val="ListParagraph"/>
        <w:widowControl/>
        <w:numPr>
          <w:ilvl w:val="0"/>
          <w:numId w:val="2"/>
        </w:num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цеденту — текущему участнику долевого строительства, чьи права вам уступают: у него как у владельца счёта есть доступ к сведениям о нём;</w:t>
      </w:r>
    </w:p>
    <w:p>
      <w:pPr>
        <w:pStyle w:val="ListParagraph"/>
        <w:widowControl/>
        <w:numPr>
          <w:ilvl w:val="0"/>
          <w:numId w:val="2"/>
        </w:num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застройщику — как стороне ДДУ и бенефициару счёта, с требованием предоставить справку банка;</w:t>
      </w:r>
    </w:p>
    <w:p>
      <w:pPr>
        <w:pStyle w:val="ListParagraph"/>
        <w:widowControl/>
        <w:numPr>
          <w:ilvl w:val="0"/>
          <w:numId w:val="2"/>
        </w:num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при готовности сторон — совместное обращение в банк с вашим участием либо получение справки цедентом в вашем присутствии.</w:t>
      </w:r>
    </w:p>
    <w:p>
      <w:pPr>
        <w:widowControl/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>Отказ предоставить банковское подтверждение оплаты до подписания уступки — основание остановить согласование сделки и запросить документы об оплате и обязательствах по ДДУ.</w:t>
      </w:r>
    </w:p>
    <w:p>
      <w:pPr>
        <w:pStyle w:val="Heading2"/>
        <w:keepNext/>
        <w:widowControl/>
        <w:spacing w:after="6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6"/>
        </w:rPr>
        <w:t xml:space="preserve">Что подставить</w:t>
      </w:r>
    </w:p>
    <w:p>
      <w:pPr>
        <w:widowControl/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По «Словарю полей» комплекта: реквизиты сторон, реквизиты ДДУ, предлагаемого к уступке, срок ответа (30.10.2026 — разумный рабочий; законом не установлен).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0"/>
          <w:szCs w:val="24"/>
        </w:rPr>
        <w:t xml:space="preserve"/>
      </w: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/>
      </w:r>
    </w:p>
    <w:p>
      <w:pPr>
        <w:pStyle w:val="Heading2"/>
        <w:keepNext/>
        <w:widowControl/>
        <w:spacing w:after="6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6"/>
        </w:rPr>
        <w:t>Порядок проверки документов</w:t>
      </w:r>
    </w:p>
    <w:p>
      <w:pPr>
        <w:pStyle w:val="ListParagraph"/>
        <w:widowControl/>
        <w:numPr>
          <w:ilvl w:val="0"/>
          <w:numId w:val="2"/>
        </w:num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>Сведения о счёте запрашивайте у сторон сделки; право будущего приобретателя получить их непосредственно в банке проверяется отдельно по полномочиям и документам.</w:t>
      </w:r>
    </w:p>
    <w:p>
      <w:pPr>
        <w:pStyle w:val="ListParagraph"/>
        <w:widowControl/>
        <w:numPr>
          <w:ilvl w:val="0"/>
          <w:numId w:val="2"/>
        </w:num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>Сопоставьте банковское подтверждение с самим ДДУ и проектом уступки: цену, сроки оплаты, условия перехода прав и обязанности по оплате (см. памятку «Читаем уступку: пункт об обязательствах по эскроу»).</w:t>
      </w:r>
    </w:p>
    <w:p>
      <w:pPr>
        <w:pStyle w:val="ListParagraph"/>
        <w:widowControl/>
        <w:numPr>
          <w:ilvl w:val="0"/>
          <w:numId w:val="2"/>
        </w:num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>Проверьте отдельно цену уступки и взаиморасчёты с цедентом: они не тождественны оплате цены ДДУ на счёт эскроу.</w:t>
      </w:r>
    </w:p>
    <w:p>
      <w:pPr>
        <w:keepNext/>
      </w:pPr>
      <w:r>
        <w:rPr>
          <w:rFonts w:ascii="Times New Roman" w:hAnsi="Times New Roman"/>
          <w:b/>
          <w:sz w:val="20"/>
        </w:rPr>
        <w:t>Контроль сторон и расчёта</w:t>
      </w:r>
    </w:p>
    <w:p>
      <w:pPr>
        <w:keepLines/>
      </w:pPr>
      <w:r>
        <w:rPr>
          <w:rFonts w:ascii="Times New Roman" w:hAnsi="Times New Roman"/>
          <w:sz w:val="20"/>
        </w:rPr>
        <w:t>До подписания запишите отдельно: должника за работы; цедента или застройщика; будущего участника ДДУ; лицо, вносящее остаток цены. Если это разные лица, их участие и расчёты должны иметь самостоятельное основание. Запрос банковских сведений сам по себе не прекращает долг за работы.</w:t>
      </w:r>
    </w:p>
    <w:p>
      <w:r>
        <w:rPr>
          <w:rFonts w:ascii="Times New Roman" w:hAnsi="Times New Roman"/>
          <w:sz w:val="20"/>
        </w:rPr>
        <w:t>Для нового ДДУ: подписанный проект и регистрация, затем оплата на эскроу по согласованному графику. Для уступки: зарегистрированный ДДУ, подтверждённая оплата либо одновременный перевод долга с необходимым согласием кредитора, регистрация уступки. Цена уступки и цена ДДУ учитываются раздельно. Для готового объекта: право продавца, обременения, основание передачи, регистрация перехода права и акт.</w:t>
      </w:r>
    </w:p>
    <w:p>
      <w:r>
        <w:rPr>
          <w:rFonts w:ascii="Times New Roman" w:hAnsi="Times New Roman"/>
          <w:sz w:val="20"/>
        </w:rPr>
        <w:t>В соглашении о расчётах зафиксируйте, какую часть одного долга за работы, по какому основанию и при каком подтверждённом событии погашают. Отступное по ст. 409 ГК РФ и зачёт по ст. 410 ГК РФ не взаимозаменяемы. При участии третьего лица требуется согласованная схема всех сторон.</w:t>
      </w:r>
    </w:p>
    <w:p>
      <w:r>
        <w:rPr>
          <w:rFonts w:ascii="Times New Roman" w:hAnsi="Times New Roman"/>
          <w:sz w:val="20"/>
        </w:rPr>
        <w:t xml:space="preserve">Нормы для сверки: </w:t>
      </w:r>
      <w:hyperlink r:id="rId10">
        <w:r>
          <w:t>214-ФЗ ст. 15.4 ч. 2–3</w:t>
        </w:r>
      </w:hyperlink>
      <w:r>
        <w:rPr>
          <w:rFonts w:ascii="Times New Roman" w:hAnsi="Times New Roman"/>
          <w:sz w:val="20"/>
        </w:rPr>
        <w:t xml:space="preserve">; </w:t>
      </w:r>
      <w:hyperlink r:id="rId11">
        <w:r>
          <w:t>214-ФЗ ст. 15.5 ч. 4</w:t>
        </w:r>
      </w:hyperlink>
      <w:r>
        <w:rPr>
          <w:rFonts w:ascii="Times New Roman" w:hAnsi="Times New Roman"/>
          <w:sz w:val="20"/>
        </w:rPr>
        <w:t xml:space="preserve">; </w:t>
      </w:r>
      <w:hyperlink r:id="rId12">
        <w:r>
          <w:t>ГК РФ ст. 409</w:t>
        </w:r>
      </w:hyperlink>
      <w:r>
        <w:rPr>
          <w:rFonts w:ascii="Times New Roman" w:hAnsi="Times New Roman"/>
          <w:sz w:val="20"/>
        </w:rPr>
        <w:t xml:space="preserve">; </w:t>
      </w:r>
      <w:hyperlink r:id="rId13">
        <w:r>
          <w:t>ГК РФ ст. 410</w:t>
        </w:r>
      </w:hyperlink>
      <w:r>
        <w:rPr>
          <w:rFonts w:ascii="Times New Roman" w:hAnsi="Times New Roman"/>
          <w:sz w:val="20"/>
        </w:rPr>
        <w:t xml:space="preserve">; </w:t>
      </w:r>
    </w:p>
    <w:p>
      <w:r>
        <w:rPr>
          <w:rFonts w:ascii="Times New Roman" w:hAnsi="Times New Roman"/>
          <w:sz w:val="20"/>
        </w:rPr>
        <w:t>Поддержка: nastoronepodryadchika@yandex.ru. В теме укажите SKU и файл, в сообщении - страницу либо лист/ячейку, пример ввода и ожидаемый результат. Сообщите об ошибке, приложив копию без конфиденциальных данных.</w:t>
      </w:r>
    </w:p>
    <w:p>
      <w:r>
        <w:rPr>
          <w:rFonts w:ascii="Times New Roman" w:hAnsi="Times New Roman"/>
          <w:sz w:val="20"/>
        </w:rPr>
        <w:t xml:space="preserve">Связанный маршрут при риске банкротства: </w:t>
      </w:r>
      <w:hyperlink r:id="rId14">
        <w:r>
          <w:t>P9 - защита требований</w:t>
        </w:r>
      </w:hyperlink>
    </w:p>
    <w:sectPr>
      <w:headerReference w:type="default" r:id="rId8"/>
      <w:footerReference w:type="default" r:id="rId9"/>
      <w:pgSz w:w="11906" w:h="16838" w:orient="portrait"/>
      <w:pgMar w:top="760" w:right="850" w:bottom="760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i w:val="0"/>
      <w:color w:val="323539"/>
      <w:sz w:val="56"/>
      <w:szCs w:val="56"/>
    </w:rPr>
  </w:style>
  <w:style w:type="paragraph" w:styleId="Heading1">
    <w:name w:val="Heading 1"/>
    <w:basedOn w:val="Normal"/>
    <w:next w:val="Normal"/>
    <w:qFormat/>
    <w:rPr>
      <w:i w:val="0"/>
      <w:color w:val="323539"/>
      <w:sz w:val="32"/>
      <w:szCs w:val="32"/>
    </w:rPr>
  </w:style>
  <w:style w:type="paragraph" w:styleId="Heading2">
    <w:name w:val="Heading 2"/>
    <w:basedOn w:val="Normal"/>
    <w:next w:val="Normal"/>
    <w:qFormat/>
    <w:rPr>
      <w:i w:val="0"/>
      <w:color w:val="323539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yperlink" Target="https://www.consultant.ru/document/cons_doc_LAW_51038/57da6efc7ca337d428cf526d01e70925ce5bdcb0/" TargetMode="External"/><Relationship Id="rId11" Type="http://schemas.openxmlformats.org/officeDocument/2006/relationships/hyperlink" Target="https://www.consultant.ru/document/cons_doc_LAW_51038/7e20edcc51ba599c70fb328204e3ac1226e7d912/" TargetMode="External"/><Relationship Id="rId12" Type="http://schemas.openxmlformats.org/officeDocument/2006/relationships/hyperlink" Target="https://www.consultant.ru/document/cons_doc_LAW_5142/8226847de7f2eeb92a5dc53e6289e35d1c74e4c2/" TargetMode="External"/><Relationship Id="rId13" Type="http://schemas.openxmlformats.org/officeDocument/2006/relationships/hyperlink" Target="https://www.consultant.ru/document/cons_doc_LAW_5142/ce09e59d11f3a60c30a1601c0f6c7cceb9835dfa/" TargetMode="External"/><Relationship Id="rId14" Type="http://schemas.openxmlformats.org/officeDocument/2006/relationships/hyperlink" Target="https://nastoronepodryadchika.ru/products/p9-bankrotstvo-genpodryadchika.html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2026-08-09T07:33:35.170Z</dcterms:created>
  <dcterms:modified xsi:type="dcterms:W3CDTF">2026-08-09T07:33:35.170Z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