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top w:val="single" w:sz="12" w:space="5" w:color="B08D57"/>
        </w:pBdr>
        <w:spacing w:after="80" w:before="24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32"/>
          <w:szCs w:val="32"/>
        </w:rPr>
        <w:t>Чек-лист проверки расчётов в неденежной форме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iCs/>
          <w:color w:val="323539"/>
          <w:sz w:val="21"/>
          <w:szCs w:val="24"/>
        </w:rPr>
        <w:t xml:space="preserve">Рабочий лист к «Алгоритму: проверка расчёта метрами до входа»: алгоритм ведёт по шагам, лист фиксирует ответы. Заполняется до подписания договора подряда и любых бумаг по метрам. Не заполнен — решение о входе не принимается.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 w:line="259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color w:val="323539"/>
                <w:sz w:val="21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80" w:line="259" w:lineRule="auto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1"/>
                <w:szCs w:val="24"/>
              </w:rPr>
              <w:t>Комплект предназначен для проверки расчётов жилыми и офисными помещениями, машино-местами либо правами на них. По единому алгоритму оцениваются форма передачи, зарегистрированные права, обременения и стоимость объекта. При уступке прав по ДДУ дополнительно проверяется наполнение соответствующего счёта эскроу.</w:t>
            </w:r>
          </w:p>
          <w:p>
            <w:pPr>
              <w:spacing w:after="80" w:line="259" w:lineRule="auto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1"/>
                <w:szCs w:val="24"/>
              </w:rPr>
              <w:t>До подписания проверьте документы о праве на объект и обременениях. При уступке прав по ДДУ дополнительно сопоставьте ДДУ, уступку и банковские подтверждения с применимыми положениями Закона № 214-ФЗ; при переводе долга — с п. 2 ст. 391 ГК РФ.</w:t>
            </w:r>
          </w:p>
          <w:p>
            <w:pPr>
              <w:spacing w:after="80" w:line="259" w:lineRule="auto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1"/>
                <w:szCs w:val="24"/>
              </w:rPr>
              <w:t>Граница проходит по стадии. Проверка проводится на стадии согласования сделки до подписания договора и документов о передаче. При возникших разногласиях после подписания документы передаются для правовой оценки. При банкротстве застройщика отдельно проверяется порядок предъявления требований в соответствующей процедуре.</w:t>
            </w:r>
          </w:p>
          <w:p>
            <w:pPr>
              <w:spacing w:after="0" w:line="259" w:lineRule="auto"/>
            </w:pPr>
            <w:r>
              <w:rPr>
                <w:rFonts w:ascii="Times New Roman" w:cs="Times New Roman" w:eastAsia="Times New Roman" w:hAnsi="Times New Roman"/>
                <w:i w:val="0"/>
                <w:color w:val="323539"/>
                <w:sz w:val="21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40" w:line="259" w:lineRule="auto"/>
      </w:pPr>
    </w:p>
    <w:p>
      <w:pPr>
        <w:pStyle w:val="Heading2"/>
        <w:keepNext/>
        <w:spacing w:after="8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1. Форма сделки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>☐  Названа форма: передача готового объекта / ДДУ на подрядчика / уступка / иное (записать).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Если уступка — известен первый участник (не аффилированное ли лицо застройщика) и причина уступки.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>☐  Получены документы о передаче объекта. Для готового объекта проверены сведения ЕГРН о праве и обременениях; при уступке по ДДУ — регистрация договора и стадия передачи объекта (ч. 2 ст. 11 Закона № 214-ФЗ). Передача оформлена или стадия не подтверждена — СТОП до определения применимой формы сделки.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Предварительных договоров и устных «после ввода оформим» в схеме нет.</w:t>
      </w:r>
    </w:p>
    <w:p>
      <w:pPr>
        <w:pStyle w:val="Heading2"/>
        <w:keepNext/>
        <w:spacing w:after="8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2. Оплата и эскроу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Известно: открыт ли счёт эскроу по передаваемому ДДУ и в каком банке.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>☐  При уступке по ДДУ получена справка/выписка банка о наполнении счёта эскроу на сумму договора (письмо застройщика подтверждением не является). Форма запроса — «Запрос о наполнении счёта эскроу по передаваемому ДДУ».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В уступке прочитан пункт об обязательствах по внесению средств на эскроу: переходят ли они на подрядчика (памятка «Читаем уступку: пункт об обязательствах по эскроу»).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>☐  Разделены цена ДДУ на эскроу, цена уступки цеденту и расчёт за работы. При неоплаченном ДДУ проверены одновременный перевод долга и согласие кредитора (ч. 1 ст. 11 Закона № 214-ФЗ; п. 2 ст. 391 ГК РФ). При цеденте — юридическом лице проверена уплата цены уступки после госрегистрации (ч. 3 ст. 11 Закона № 214-ФЗ); при зачёте работ — момент зачёта и встречные требования. Зачёт не подтверждает пополнение эскроу (ч. 3 ст. 15.4 Закона № 214-ФЗ).</w:t>
      </w:r>
    </w:p>
    <w:p>
      <w:pPr>
        <w:pStyle w:val="Heading2"/>
        <w:keepNext/>
        <w:spacing w:after="8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3. Объект и застройщик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Проектная декларация в ЕИСЖС прочитана: срок ввода, переносы.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Разрешение на строительство действует; дата окончания записана.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Картотека арбитража проверена: иски, банкротство.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Федресурс проверен: намерений кредиторов нет.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Выписка ЕГРЮЛ свежая: статус действующий, собственник известен.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Состояние дома осмотрено; отставание от графика названо. Письменная фиксация статуса — «Запрос застройщику о статусе объекта».</w:t>
      </w:r>
    </w:p>
    <w:p>
      <w:pPr>
        <w:pStyle w:val="Heading2"/>
        <w:keepNext/>
        <w:spacing w:after="8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4. Финансирование и продажи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Известен банк проектного финансирования.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>☐  Условия проектного финансирования и ограничения по кредитной документации запрошены и проверены в доступной части; ход строительства и платежи подрядчикам сами по себе не подтверждают отсутствие ограничений.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Темпы продаж посмотрены: зарегистрированные ДДУ и динамика.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Понятно, почему застройщик платит метрами, а не деньгами — ответ записан словами.</w:t>
      </w:r>
    </w:p>
    <w:p>
      <w:pPr>
        <w:pStyle w:val="Heading2"/>
        <w:keepNext/>
        <w:spacing w:after="8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5. Экономика метра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Реальная цена продажи по стакану предложений: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1"/>
          <w:szCs w:val="24"/>
        </w:rPr>
        <w:t xml:space="preserve">{{ЦЕНА_РЫНКА}}</w:t>
      </w: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Цена метра в расчёте с учётом скидки: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1"/>
          <w:szCs w:val="24"/>
        </w:rPr>
        <w:t xml:space="preserve">{{ЦЕНА_В_РАСЧЁТЕ}}</w:t>
      </w: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Ожидаемый срок продажи и дисконт быстрой продажи оценены.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Налоги при получении и продаже посчитаны с бухгалтером.</w:t>
      </w:r>
    </w:p>
    <w:p>
      <w:pPr>
        <w:spacing w:after="40" w:line="259" w:lineRule="auto"/>
      </w:pPr>
      <w:r>
        <w:rPr>
          <w:i w:val="0"/>
          <w:color w:val="323539"/>
        </w:rPr>
        <w:t>☐  Итог рассчитан по таблице ниже; разница с оплатой работ названа числом. Если данных нет — решение о входе отложено.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</w:tblPr>
      <w:tblGrid>
        <w:gridCol w:w="2835"/>
        <w:gridCol w:w="3572"/>
        <w:gridCol w:w="3061"/>
      </w:tblGrid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Показатель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Значение, ₽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Как проверить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А. Цена продажи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________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Сопоставимые предложения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Б. Дисконт, %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________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Сценарий быстрой продажи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В. Выручка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А × (1 − Б / 100)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Расчёт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Г. Налоги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________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Режим подрядчика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Д. Расходы продажи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________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Комиссия, оформление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Е. Финансирование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sz w:val="18"/>
              </w:rPr>
              <w:t>Долг × ставка (%) × мес. / 1200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8"/>
              </w:rPr>
              <w:t>Долг ___ ₽; ставка ___ %; срок ___ мес.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Ж. Чистые поступления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В − Г − Д − Е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Расчёт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З. Стоимость работ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________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Договор, КС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И. Разница</w:t>
            </w:r>
          </w:p>
        </w:tc>
        <w:tc>
          <w:tcPr>
            <w:tcW w:type="dxa" w:w="3572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Ж − 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i w:val="0"/>
                <w:color w:val="323539"/>
                <w:sz w:val="18"/>
              </w:rPr>
              <w:t>Минус = потеря маржи</w:t>
            </w:r>
          </w:p>
        </w:tc>
      </w:tr>
    </w:tbl>
    <w:p>
      <w:r>
        <w:t>Условный пример: цена продажи 10 000 000 ₽, дисконт 5% → 9 500 000 ₽; налоги 600 000 ₽, продажа 200 000 ₽, финансирование 400 000 ₽ (долг 4 000 000 ₽ × 12% × 10 мес. / 1200) → чистые поступления 8 300 000 ₽. При стоимости работ 9 000 000 ₽ разница −700 000 ₽. Не используйте пример вместо расчёта реальной сделки.</w:t>
      </w:r>
    </w:p>
    <w:p>
      <w:pPr>
        <w:pStyle w:val="Heading2"/>
        <w:keepNext/>
        <w:pageBreakBefore/>
        <w:spacing w:after="8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6. Договор подряда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Денежная часть расчёта записана: </w:t>
      </w:r>
      <w:r>
        <w:rPr>
          <w:rFonts w:ascii="Times New Roman" w:cs="Times New Roman" w:eastAsia="Times New Roman" w:hAnsi="Times New Roman"/>
          <w:b/>
          <w:bCs/>
          <w:i w:val="0"/>
          <w:iCs w:val="false"/>
          <w:color w:val="323539"/>
          <w:sz w:val="21"/>
          <w:szCs w:val="24"/>
        </w:rPr>
        <w:t xml:space="preserve">{{ДОЛЯ_ДЕНЬГАМИ}}</w:t>
      </w: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Передача прав привязана к закрытию объёмов, а не к вводу.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Судьба расчёта при срыве ввода / отзыве разрешения / остановке финансирования записана в договоре.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Проект сделки проверен независимым от застройщика юристом. Правило комплекта: каждый красный флаг — правовая оценка. Два и более — СТОП: до проверки не подписывайте сделку и не начинайте работы в счёт недвижимости. Возобновление — после документальной проверки рисков, согласования мер защиты, включая обеспечение, и письменного решения руководителя. Правовые препятствия должны быть устранены.</w:t>
      </w:r>
    </w:p>
    <w:p>
      <w:pPr>
        <w:pStyle w:val="Heading2"/>
        <w:keepNext/>
        <w:spacing w:after="80" w:before="260"/>
      </w:pPr>
      <w:r>
        <w:rPr>
          <w:rFonts w:ascii="Times New Roman" w:cs="Times New Roman" w:eastAsia="Times New Roman" w:hAnsi="Times New Roman"/>
          <w:b/>
          <w:bCs/>
          <w:i w:val="0"/>
          <w:color w:val="323539"/>
          <w:sz w:val="26"/>
          <w:szCs w:val="26"/>
        </w:rPr>
        <w:t xml:space="preserve">7. Красные флаги — правило остановки в разделе 6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>☐  По передаваемым ДДУ счета эскроу не открыты или не наполнены.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>☐  В уступке предлагается переход обязанности внести деньги на эскроу — размер долга, одновременный перевод и согласие кредитора проверены до решения.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ДДУ оформлены на аффилированное с застройщиком физлицо.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Проектное финансирование остановлено или есть признаки.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Срок ввода уже переносился.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В выдаче ЗОС отказано, замечания надзора не сняты.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Разрешение на строительство на исходе или истекло.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Предыдущий пул подрядчиков ушёл с объекта.</w:t>
      </w:r>
    </w:p>
    <w:p>
      <w:pPr>
        <w:spacing w:after="40" w:line="259" w:lineRule="auto"/>
      </w:pPr>
      <w:r>
        <w:rPr>
          <w:rFonts w:ascii="Times New Roman" w:cs="Times New Roman" w:eastAsia="Times New Roman" w:hAnsi="Times New Roman"/>
          <w:i w:val="0"/>
          <w:color w:val="323539"/>
          <w:sz w:val="21"/>
          <w:szCs w:val="24"/>
        </w:rPr>
        <w:t xml:space="preserve">☐  Скидка от метра заметно выше рыночной — цена риска, который продают вместе с метрами.</w:t>
      </w:r>
    </w:p>
    <w:sectPr>
      <w:headerReference w:type="default" r:id="rId8"/>
      <w:footerReference w:type="default" r:id="rId9"/>
      <w:pgSz w:w="11906" w:h="16838" w:orient="portrait"/>
      <w:pgMar w:top="700" w:right="850" w:bottom="70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i w:val="0"/>
      <w:color w:val="323539"/>
      <w:sz w:val="56"/>
      <w:szCs w:val="56"/>
    </w:rPr>
  </w:style>
  <w:style w:type="paragraph" w:styleId="Heading1">
    <w:name w:val="Heading 1"/>
    <w:basedOn w:val="Normal"/>
    <w:next w:val="Normal"/>
    <w:qFormat/>
    <w:rPr>
      <w:i w:val="0"/>
      <w:color w:val="323539"/>
      <w:sz w:val="32"/>
      <w:szCs w:val="32"/>
    </w:rPr>
  </w:style>
  <w:style w:type="paragraph" w:styleId="Heading2">
    <w:name w:val="Heading 2"/>
    <w:basedOn w:val="Normal"/>
    <w:next w:val="Normal"/>
    <w:qFormat/>
    <w:rPr>
      <w:i w:val="0"/>
      <w:color w:val="323539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2026-08-09T07:33:34.934Z</dcterms:created>
  <dcterms:modified xsi:type="dcterms:W3CDTF">2026-08-09T07:33:34.934Z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