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Пять рабочих форм акта освидетельствования скрытых работ (АОСР) по видам работ</w:t>
      </w:r>
    </w:p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rPr>
          <w:b w:val="0"/>
          <w:i/>
          <w:sz w:val="20"/>
        </w:rPr>
        <w:t>Для работ, которые закрывает бетонирование: арматурный каркас, закладные детали и проёмы, основание под бетон.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армирование фундаментной плиты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Положение каркаса: оси и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Шаг и диаметр арматуры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Закладные детали и проёмы: положение и количество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бетонирование: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бетонирование фундаментной плиты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схема: оси, отметки, шаг и диаметр арматуры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бетонирования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арматуру и закладные детали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Листы проекта, по которым выполнен узел, и изменения к ним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rPr>
          <w:b w:val="0"/>
          <w:i/>
          <w:sz w:val="20"/>
        </w:rPr>
        <w:t>Для гидроизоляции, которую закрывают следующие работы: защитная стяжка, обратная засыпка, облицовка.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устройство оклеечной гидроизоляции фундаментной плиты, число слоёв и марка материала — как в проекте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гидроизоляцию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Состав: число слоёв и марка материала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Участок: оси, отметки, площадь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Узлы примыканий и проходов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Испытания — если предусмотрены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защитной стяжки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участка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рулонный материал и праймер (или иные материалы по проекту)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входного контроля этих материалов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Результаты испытаний — если по узлу они предусмотрены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rPr>
          <w:b w:val="0"/>
          <w:i/>
          <w:sz w:val="20"/>
        </w:rPr>
        <w:t>Для кабельных линий, которые закроют отделка или засыпка: штробы, гофра в стяжке, закрытые лотки, пространство за подвесным потолком, прокладка в земле.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прокладка кабельной линии от щита ___ до ___ в штробе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Трасса: оси, отметки, привязки к конструкциям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Способ прокладки и крепление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Соединения и ответвления в закрываемом пространстве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Проходы через стены и перекрытия: гильзы,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Огнезащитная заделка проходов через противопожарные преграды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Замеры по электрической части — состав по проекту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оштукатуривание стен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кабель, гофру или трубу, крепёж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Протоколы замеров по электрической части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rPr>
          <w:b w:val="0"/>
          <w:i/>
          <w:sz w:val="20"/>
        </w:rPr>
        <w:t>Для трубопроводов отопления, водоснабжения и канализации, которые закроют стяжка, зашивка, штукатурка или засыпка.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монтаж трубопроводов отопления от узла ___ до узла ___, стояк ___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 и границы участка: от какого узла до какого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Уклоны самотёчных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Крепления, подвесы и опоры: тип и шаг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Футляры и гильзы в местах прохода,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Изоляция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Испытание на герметичность — если предусмотрено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Промывка или продувка — если предусмотрена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стяжки пола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испытания на герметичность — если испытание предусмотрено проектом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промывки или продувки — если проводилась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трубу, фитинги, крепёж, изоляцию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rPr>
          <w:b w:val="0"/>
          <w:i/>
          <w:sz w:val="20"/>
        </w:rPr>
        <w:t>Для скрытых работ, которые не подходят под формы 1–4: основание под стяжку, теплоизоляция, узлы примыканий и другие работы из перечня скрытых работ по проекту.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привязкой к месту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применённые материалы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Как пользоваться формами</w:t>
      </w:r>
    </w:p>
    <w:p>
      <w:pPr>
        <w:pStyle w:val="ListNumber"/>
      </w:pPr>
      <w:r>
        <w:t>Какая форма главнее. Если форма акта приложена к договору, заполняется она. Если своя форма есть у ПТО генподрядчика или заказчика, её запрашивают письменно до начала скрываемых работ. Для строительства, реконструкции и капитального ремонта объектов капитального строительства рекомендуемый образец акта приведён в приложении № 3 к составу исполнительной документации, утверждённому приказом Минстроя России от 16.05.2023 № 344/пр; его сверяют в действующей редакции. Формы этого файла — рабочие шаблоны, составленные на основе рекомендуемого образца и дополненные полями комплекта. Рекомендуемый образец они дословно не воспроизводят и соответствие ему не утверждают. Поля комплекта в образец не входят: договор, номер акта в реестре актов объекта, дата осмотра, вызов на освидетельствование, позиция сметы и строка КС-2, место, объём, запись общего журнала работ, партия и входной контроль в таблице материалов, таблица проверок, отступления, перечень приложений по видам работ (в образце — только общее указание на приложения), дата подписания. Если акт оформляется по образцу, перенесите данные в него.</w:t>
      </w:r>
    </w:p>
    <w:p>
      <w:pPr>
        <w:pStyle w:val="ListNumber"/>
      </w:pPr>
      <w:r>
        <w:t>Порядок. Работа закончена на участке с понятными границами. Если испытание предусмотрено проектом — испытание и протокол. Затем письменный вызов с фиксацией даты получения, осмотр по открытому узлу и подписи всех участников. Только после этого участок закрывают.</w:t>
      </w:r>
    </w:p>
    <w:p>
      <w:pPr>
        <w:pStyle w:val="ListNumber"/>
      </w:pPr>
      <w:r>
        <w:t>Даты. В образце указывается дата составления акта. Практика комплекта — составлять акт в день осмотра. Дата лежит между окончанием работы и началом следующего этапа. Подписи ставят не раньше осмотра и не позже закрытия. Даты сверяют с общим журналом работ и с документами о качестве материалов.</w:t>
      </w:r>
    </w:p>
    <w:p>
      <w:pPr>
        <w:pStyle w:val="ListNumber"/>
      </w:pPr>
      <w:r>
        <w:t>Предмет. Наименование работ в акте совпадает с позицией сметы, строкой КС-2 и записью в общем журнале работ. По нему ПТО находит, за какую позицию идёт оплата.</w:t>
      </w:r>
    </w:p>
    <w:p>
      <w:pPr>
        <w:pStyle w:val="ListNumber"/>
      </w:pPr>
      <w:r>
        <w:t>Участники. Кто подписывает акт, установлено п. 3 порядка ведения исполнительной документации (приказ Минстроя России от 16.05.2023 № 344/пр). Представитель лица, готовившего проектную документацию, и представитель лица, выполнившего работы, подписывают в случаях, названных в образце. Если договор требует подписи иных лиц, это условие договора: ни п. 3 порядка, ни образец таких подписантов не предусматривают. У каждого представителя указывают реквизиты распорядительного документа о полномочиях, действующего на дату подписи. Строку участника, которого на вашем объекте нет, удалите, а не оставляйте пустой.</w:t>
      </w:r>
    </w:p>
    <w:p>
      <w:pPr>
        <w:pStyle w:val="ListNumber"/>
      </w:pPr>
      <w:r>
        <w:t>Номер акта берут из реестра актов объекта сразу, а не при сборке комплекта. Подписанный акт вносят в реестр приложений (файл 02) и в перечень приложений к КС-2.</w:t>
      </w:r>
    </w:p>
    <w:p>
      <w:pPr>
        <w:pStyle w:val="ListNumber"/>
      </w:pPr>
      <w:r>
        <w:t>Значений в форме нет намеренно: допуски, давления, марки и классы переносятся из проекта и протоколов, а не пишутся по памяти. Строки таблиц, которые к вашему узлу не относятся, удалите.</w:t>
      </w:r>
    </w:p>
    <w:p>
      <w:pPr>
        <w:pStyle w:val="ListNumber"/>
      </w:pPr>
      <w:r>
        <w:t>Акты освидетельствования ответственных конструкций и участков сетей инженерно-технического обеспечения — отдельные документы исполнительной документации (рекомендуемые образцы — приложения № 4 и № 5 к составу). Эти формы их не заменяют.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