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ТАБЛИЦА сроков хранения исполнительной документации</w:t>
      </w:r>
    </w:p>
    <w:p/>
    <w:p>
      <w:pPr>
        <w:pStyle w:val="Heading1"/>
      </w:pPr>
      <w:r>
        <w:t>Сроки хранения по видам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документа</w:t>
            </w:r>
          </w:p>
        </w:tc>
        <w:tc>
          <w:tcPr>
            <w:tcW w:type="dxa" w:w="2160"/>
          </w:tcPr>
          <w:p>
            <w:r>
              <w:t>Срок хранения</w:t>
            </w:r>
          </w:p>
        </w:tc>
        <w:tc>
          <w:tcPr>
            <w:tcW w:type="dxa" w:w="2160"/>
          </w:tcPr>
          <w:p>
            <w:r>
              <w:t>Нормативная база</w:t>
            </w:r>
          </w:p>
        </w:tc>
        <w:tc>
          <w:tcPr>
            <w:tcW w:type="dxa" w:w="2160"/>
          </w:tcPr>
          <w:p>
            <w: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КС-2, КС-3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Передаются в архив заказчика</w:t>
            </w:r>
          </w:p>
        </w:tc>
      </w:tr>
      <w:tr>
        <w:tc>
          <w:tcPr>
            <w:tcW w:type="dxa" w:w="2160"/>
          </w:tcPr>
          <w:p>
            <w:r>
              <w:t>Акты скрытых работ (АОСР)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В составе дела КС-2</w:t>
            </w:r>
          </w:p>
        </w:tc>
      </w:tr>
      <w:tr>
        <w:tc>
          <w:tcPr>
            <w:tcW w:type="dxa" w:w="2160"/>
          </w:tcPr>
          <w:p>
            <w:r>
              <w:t>Исполнительные схемы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В составе дела КС-2</w:t>
            </w:r>
          </w:p>
        </w:tc>
      </w:tr>
      <w:tr>
        <w:tc>
          <w:tcPr>
            <w:tcW w:type="dxa" w:w="2160"/>
          </w:tcPr>
          <w:p>
            <w:r>
              <w:t>Журналы работ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После сдачи объекта</w:t>
            </w:r>
          </w:p>
        </w:tc>
      </w:tr>
      <w:tr>
        <w:tc>
          <w:tcPr>
            <w:tcW w:type="dxa" w:w="2160"/>
          </w:tcPr>
          <w:p>
            <w:r>
              <w:t>Сертификаты на материалы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С момента изготовления</w:t>
            </w:r>
          </w:p>
        </w:tc>
      </w:tr>
      <w:tr>
        <w:tc>
          <w:tcPr>
            <w:tcW w:type="dxa" w:w="2160"/>
          </w:tcPr>
          <w:p>
            <w:r>
              <w:t>Паспорта на изделия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С момента изготовления</w:t>
            </w:r>
          </w:p>
        </w:tc>
      </w:tr>
      <w:tr>
        <w:tc>
          <w:tcPr>
            <w:tcW w:type="dxa" w:w="2160"/>
          </w:tcPr>
          <w:p>
            <w:r>
              <w:t>Переписка с заказчиком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Вкл. электронную</w:t>
            </w:r>
          </w:p>
        </w:tc>
      </w:tr>
      <w:tr>
        <w:tc>
          <w:tcPr>
            <w:tcW w:type="dxa" w:w="2160"/>
          </w:tcPr>
          <w:p>
            <w:r>
              <w:t>Сметная документация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Если объект капитального строительства</w:t>
            </w:r>
          </w:p>
        </w:tc>
      </w:tr>
    </w:tbl>
    <w:p/>
    <w:p>
      <w:pPr>
        <w:pStyle w:val="Heading1"/>
      </w:pPr>
      <w:r>
        <w:t>Важно</w:t>
      </w:r>
    </w:p>
    <w:p>
      <w:r>
        <w:t>Сроки хранения могут отличаться в зависимости от типа объекта (капитальное строительство, реконструкция, линейный объект). Уточняйте в договоре и проекте организации строительства.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