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Уведомление о просрочке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Мягкий первый шаг: зафиксировать просрочку, не сжигая отношения.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факт просрочки и запросить срок оплаты, не переводя отношения в претензионный режим. Уведомление сохраняет рабочий тон с заказчиком, у которого вы, возможно, ещё работаете, — и одновременно создаёт письменный след, который пригодится, если дойдёт до претензии и суда.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 недавно, и есть основания полагать, что задержка техническая: казначейство, согласование, смена бухгалтера.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Отношения с заказчиком рабочие, и жёсткий тон преждевременен.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он соотносится с претензией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Досудебный порядок определяется содержанием обращения, а не его названием: ч. 5 ст. 4 АПК РФ говорит о претензии или ином требовании и формы не устанавливает. Поэтому текст ниже намеренно собран как требование: в нём есть основание, сумма, срок исполнения и названные последствия неисполнения. Спорить о том, было ли «уведомление» претензией, покупателю этого комплекта не придётся.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Тон при этом остаётся рабочим — в этом и смысл шага. Если просрочка длительная или заказчик уклоняется от контакта, шаг пропускается и направляется развёрнутая претензия из этого же комплекта.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отказывается от процентов. Право на проценты по ст. 395 ГК РФ возникает с начала просрочки независимо от мягкости формулировок; исключение — п. 4 ст. 395: если за то же нарушение договором установлена неустойка, проценты по ст. 395 не начисляются, если иное не предусмотрено законом или договором.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консультацию юриста в спорной ситуации: заказчик оспаривает акты, заявляет зачёт, есть признаки банкротства.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сроке ответа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{{СРОК_ОТВЕТА_НА_УВЕДОМЛЕНИЕ}}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назначаете вы сами. Он не сокращает срок ожидания перед иском: по ч. 5 ст. 4 АПК РФ спор можно передать в суд по истечении установленного законом или договором срока со дня направления требования, и назначенный вами короткий срок ответа его не заменяет. Назначайте разумный рабочий срок и держите его: пауза дольше собственного назначенного срока учит заказчика, что ваши дедлайны ничего не значат.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уведомления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ТРЕБОВАНИЕ (ПРЕТЕНЗИЯ) об оплате задолженности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Уважаемые коллеги!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Напоминаем, что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выполненные нами работы приняты по акту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(справка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оплаты, установленный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истёк.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оплата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наш расчётный счёт не поступила.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сообщить причину задержки и планируемую дату оплаты в срок до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{{СРОК_ОТВЕТА_НА_УВЕДОМЛЕНИЕ}}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произвести оплату по реквизитам: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оплата уже произведена, просим направить копию платёжного поручения.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Обращаем внимание, что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задолженности начисляются проценты в соответствии со ст. 395 Гражданского кодекса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неустойка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Мы рассчитываем урегулировать вопрос в рабочем порядке без применения мер ответственности.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 неисполнения настоящего требования в указанный срок мы будем вынуждены обратиться в арбитражный суд с требованием о взыскании задолженности, процентов и судебных расходов.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тоне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 намеренно составлен без слова «претензия» и без угрозы судом: его задача — получить дату платежа, не сжигая отношения. Абзац о процентах оставьте: он фиксирует осведомлённость сторон и ни к чему вас не обязывает, зато лишает заказчика довода «мы не знали, что счёт идёт».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Достаточно канала, которым стороны реально обмениваются документами: ЭДО или электронная почта из договора. Копия почтой с описью не помешает — если дойдёт до суда, уведомление ляжет в историю переписки и покажет, что вы вели себя добросовестно.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Следующий шаг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в назначенный срок нет ни ответа, ни денег — переходите к претензии. Порядок и сроки — в файле «Алгоритм действий при задержке оплаты», шаг «Претензия».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2026-08-16T06:56:23.037Z</dcterms:created>
  <dcterms:modified xsi:type="dcterms:W3CDTF">2026-08-16T06:56:23.037Z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