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pageBreakBefore w:val="0"/>
        <w:spacing w:after="200" w:before="240"/>
      </w:pPr>
      <w:r>
        <w:rPr>
          <w:rFonts w:ascii="Arial" w:cs="Times New Roman" w:eastAsia="Times New Roman" w:hAnsi="Arial"/>
          <w:b/>
          <w:bCs/>
          <w:color w:val="AE8031"/>
          <w:sz w:val="34"/>
          <w:szCs w:val="32"/>
        </w:rPr>
        <w:t xml:space="preserve">Порядок действий при просрочке оплаты</w:t>
      </w:r>
    </w:p>
    <w:p>
      <w:pPr>
        <w:pageBreakBefore w:val="0"/>
        <w:spacing w:after="60" w:line="276"/>
      </w:pPr>
      <w:r>
        <w:rPr>
          <w:rFonts w:ascii="Arial" w:cs="Times New Roman" w:eastAsia="Times New Roman" w:hAnsi="Arial"/>
          <w:i/>
          <w:iCs/>
          <w:color w:val="262F37"/>
          <w:sz w:val="21"/>
          <w:szCs w:val="24"/>
        </w:rPr>
        <w:t xml:space="preserve">Проверка задолженности, направление требования, соблюдение досудебного порядка и предъявление исполнительного документа.</w:t>
      </w:r>
    </w:p>
    <w:p>
      <w:pPr>
        <w:pStyle w:val="Heading2"/>
        <w:keepNext/>
        <w:pageBreakBefore w:val="0"/>
        <w:spacing w:after="80" w:before="160"/>
      </w:pPr>
      <w:r>
        <w:rPr>
          <w:rFonts w:ascii="Arial" w:cs="Times New Roman" w:eastAsia="Times New Roman" w:hAnsi="Arial"/>
          <w:b/>
          <w:bCs/>
          <w:color w:val="8E6F32"/>
          <w:sz w:val="24"/>
          <w:szCs w:val="26"/>
        </w:rPr>
        <w:t xml:space="preserve">Результат применения</w:t>
      </w:r>
    </w:p>
    <w:p>
      <w:pPr>
        <w:pageBreakBefore w:val="0"/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Раздел А применяется к задолженности по актам, подписанным заказчиком. Раздел Б определяет документы для подтверждения выполнения и сдачи работ при уклонении заказчика от подписания. По каждому этапу указаны действия, документы и контрольный результат.</w:t>
      </w:r>
    </w:p>
    <w:p>
      <w:pPr>
        <w:pStyle w:val="Heading2"/>
        <w:keepNext/>
        <w:pageBreakBefore w:val="0"/>
        <w:spacing w:after="80" w:before="160"/>
      </w:pPr>
      <w:r>
        <w:rPr>
          <w:rFonts w:ascii="Arial" w:cs="Times New Roman" w:eastAsia="Times New Roman" w:hAnsi="Arial"/>
          <w:b/>
          <w:bCs/>
          <w:color w:val="8E6F32"/>
          <w:sz w:val="24"/>
          <w:szCs w:val="26"/>
        </w:rPr>
        <w:t xml:space="preserve">Порядок применения</w:t>
      </w:r>
    </w:p>
    <w:p>
      <w:pPr>
        <w:pageBreakBefore w:val="0"/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Сверьте основания требований, суммы и сроки с договором, актами и платежами. Спор об объёме, списание в одностороннем порядке и банкротство должника требуют отдельной проверки подтверждающих документов и применимой процедуры.</w:t>
      </w:r>
    </w:p>
    <w:p>
      <w:pPr>
        <w:pStyle w:val="Heading1"/>
        <w:keepNext/>
        <w:pageBreakBefore w:val="0"/>
        <w:spacing w:after="80" w:before="160"/>
      </w:pPr>
      <w:r>
        <w:rPr>
          <w:rFonts w:ascii="Arial" w:cs="Times New Roman" w:eastAsia="Times New Roman" w:hAnsi="Arial"/>
          <w:b/>
          <w:bCs/>
          <w:color w:val="8E6F32"/>
          <w:sz w:val="24"/>
          <w:szCs w:val="32"/>
        </w:rPr>
        <w:t xml:space="preserve">Раздел А. Акты подписаны, оплаты нет</w:t>
      </w:r>
    </w:p>
    <w:p>
      <w:pPr>
        <w:pStyle w:val="Heading2"/>
        <w:keepNext/>
        <w:pageBreakBefore w:val="0"/>
        <w:spacing w:after="80" w:before="160"/>
      </w:pPr>
      <w:r>
        <w:rPr>
          <w:rFonts w:ascii="Arial" w:cs="Times New Roman" w:eastAsia="Times New Roman" w:hAnsi="Arial"/>
          <w:b/>
          <w:bCs/>
          <w:color w:val="8E6F32"/>
          <w:sz w:val="24"/>
          <w:szCs w:val="26"/>
        </w:rPr>
        <w:t xml:space="preserve">Шаг 1. Проверка основания и суммы задолженности</w:t>
      </w:r>
    </w:p>
    <w:p>
      <w:pPr>
        <w:pageBreakBefore w:val="0"/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Проверьте наличие договора и актов, наступление срока оплаты, стоимость принятых работ и все поступившие платежи.</w:t>
      </w:r>
    </w:p>
    <w:p>
      <w:pPr>
        <w:pStyle w:val="ListParagraph"/>
        <w:pageBreakBefore w:val="0"/>
        <w:numPr>
          <w:ilvl w:val="0"/>
          <w:numId w:val="2"/>
        </w:num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Подготовьте договор с приложениями, подписанные акты, платёжные поручения и банковские выписки. По словарю 11 определите {{СУММА_ДОЛГА}} и {{ДАТА_НАЧАЛА_ПРОСРОЧКИ}}. Для процентов укажите задолженность на начало расчётного периода и каждую последующую оплату с датой. Текущий остаток к оплате не заменяет первоначальную базу расчёта.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/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/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/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/>
      </w:r>
    </w:p>
    <w:p>
      <w:pPr>
        <w:pStyle w:val="ListParagraph"/>
        <w:pageBreakBefore w:val="0"/>
        <w:numPr>
          <w:ilvl w:val="0"/>
          <w:numId w:val="2"/>
        </w:num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Результат шага: подтверждённая сумма долга и дата начала просрочки.</w:t>
      </w:r>
    </w:p>
    <w:p>
      <w:pPr>
        <w:pStyle w:val="Heading2"/>
        <w:keepNext/>
        <w:pageBreakBefore w:val="0"/>
        <w:spacing w:after="80" w:before="160"/>
      </w:pPr>
      <w:r>
        <w:rPr>
          <w:rFonts w:ascii="Arial" w:cs="Times New Roman" w:eastAsia="Times New Roman" w:hAnsi="Arial"/>
          <w:b/>
          <w:bCs/>
          <w:color w:val="8E6F32"/>
          <w:sz w:val="24"/>
          <w:szCs w:val="26"/>
        </w:rPr>
        <w:t xml:space="preserve">Шаг 2. Уведомление о просрочке</w:t>
      </w:r>
    </w:p>
    <w:p>
      <w:pPr>
        <w:pageBreakBefore w:val="0"/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Направьте уведомление 13 с основанием, суммой задолженности и требованием об оплате. Зафиксируйте дату направления и срок исполнения. Результат переговоров с представителем заказчика подтвердите письменным сообщением.</w:t>
      </w:r>
    </w:p>
    <w:p>
      <w:pPr>
        <w:pageBreakBefore w:val="0"/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Уведомление содержит основание, сумму и срок исполнения требования. При проверке соблюдения досудебного порядка учитывается содержание документа. Применимый срок ожидания перед обращением в суд определите по части 5 статьи 4 АПК РФ, закону и договору. Сохраните доказательства направления. При необходимости направьте отдельную претензию по шагу 4.</w:t>
      </w:r>
    </w:p>
    <w:p>
      <w:pPr>
        <w:pageBreakBefore w:val="0"/>
        <w:spacing w:after="60" w:line="276"/>
      </w:pPr>
      <w:r>
        <w:rPr>
          <w:rFonts w:ascii="Arial" w:cs="Times New Roman" w:eastAsia="Times New Roman" w:hAnsi="Arial"/>
          <w:b/>
          <w:bCs/>
          <w:color w:val="262F37"/>
          <w:sz w:val="21"/>
          <w:szCs w:val="24"/>
        </w:rPr>
        <w:t xml:space="preserve">Дальнейшие действия</w:t>
      </w:r>
    </w:p>
    <w:p>
      <w:pPr>
        <w:pStyle w:val="ListParagraph"/>
        <w:pageBreakBefore w:val="0"/>
        <w:numPr>
          <w:ilvl w:val="0"/>
          <w:numId w:val="2"/>
        </w:num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При получении письменного графика оплаты установите контрольную дату. Если платёж не поступил в согласованный срок, подготовьте претензию по шагу 4.</w:t>
      </w:r>
    </w:p>
    <w:p>
      <w:pPr>
        <w:pStyle w:val="ListParagraph"/>
        <w:pageBreakBefore w:val="0"/>
        <w:numPr>
          <w:ilvl w:val="0"/>
          <w:numId w:val="2"/>
        </w:num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При отсутствии ответа либо отказе в оплате подготовьте претензию по шагу 4.</w:t>
      </w:r>
    </w:p>
    <w:p>
      <w:pPr>
        <w:pStyle w:val="ListParagraph"/>
        <w:pageBreakBefore w:val="0"/>
        <w:numPr>
          <w:ilvl w:val="0"/>
          <w:numId w:val="2"/>
        </w:num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При возражениях по объёму, качеству или уменьшении оплаты сопоставьте основания каждой позиции с актами, договором и расчётом. Зафиксируйте сумму неоспариваемой задолженности и подготовьте отдельный ответ по спорным требованиям.</w:t>
      </w:r>
    </w:p>
    <w:p>
      <w:pPr>
        <w:pStyle w:val="Heading2"/>
        <w:keepNext/>
        <w:pageBreakBefore w:val="0"/>
        <w:spacing w:after="80" w:before="160"/>
      </w:pPr>
      <w:r>
        <w:rPr>
          <w:rFonts w:ascii="Arial" w:cs="Times New Roman" w:eastAsia="Times New Roman" w:hAnsi="Arial"/>
          <w:b/>
          <w:bCs/>
          <w:color w:val="8E6F32"/>
          <w:sz w:val="24"/>
          <w:szCs w:val="26"/>
        </w:rPr>
        <w:t xml:space="preserve">Шаг 3. Проверка сведений о должнике</w:t>
      </w:r>
    </w:p>
    <w:p>
      <w:pPr>
        <w:pStyle w:val="ListParagraph"/>
        <w:pageBreakBefore w:val="0"/>
        <w:numPr>
          <w:ilvl w:val="0"/>
          <w:numId w:val="2"/>
        </w:num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Картотека арбитражных дел (kad.arbitr.ru): иски к заказчику, дело о банкротстве.</w:t>
      </w:r>
    </w:p>
    <w:p>
      <w:pPr>
        <w:pStyle w:val="ListParagraph"/>
        <w:pageBreakBefore w:val="0"/>
        <w:numPr>
          <w:ilvl w:val="0"/>
          <w:numId w:val="2"/>
        </w:num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ЕФРСБ (bankrot.fedresurs.ru): сведения о возбуждённых делах о банкротстве.</w:t>
      </w:r>
    </w:p>
    <w:p>
      <w:pPr>
        <w:pStyle w:val="ListParagraph"/>
        <w:pageBreakBefore w:val="0"/>
        <w:numPr>
          <w:ilvl w:val="0"/>
          <w:numId w:val="2"/>
        </w:num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Проверьте ЕФРСФДЮЛ (fedresurs.ru): сведения о намерении кредитора обратиться с заявлением о банкротстве публикуются в порядке пункта 2.1 статьи 7 Закона № 127-ФЗ. Сохраните сообщение, дату публикации и результат повторной проверки перед процессуальным обращением.</w:t>
      </w:r>
    </w:p>
    <w:p>
      <w:pPr>
        <w:pStyle w:val="ListParagraph"/>
        <w:pageBreakBefore w:val="0"/>
        <w:numPr>
          <w:ilvl w:val="0"/>
          <w:numId w:val="2"/>
        </w:num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Получите актуальные сведения ЕГРЮЛ об адресе, статусе должника, ликвидации или реорганизации.</w:t>
      </w:r>
    </w:p>
    <w:p>
      <w:pPr>
        <w:pageBreakBefore w:val="0"/>
        <w:spacing w:after="60" w:line="276"/>
      </w:pPr>
      <w:r>
        <w:rPr>
          <w:rFonts w:ascii="Arial" w:cs="Times New Roman" w:eastAsia="Times New Roman" w:hAnsi="Arial"/>
          <w:b/>
          <w:bCs/>
          <w:color w:val="262F37"/>
          <w:sz w:val="21"/>
          <w:szCs w:val="24"/>
        </w:rPr>
        <w:t xml:space="preserve">Если обнаружено дело о банкротстве или сообщение о намерении, зафиксируйте номер дела, стадию и дату публикации. Определите специальный порядок и срок предъявления требования кредитора по этой процедуре до выбора дальнейшего процессуального действия.</w:t>
      </w:r>
    </w:p>
    <w:p>
      <w:pPr>
        <w:pStyle w:val="Heading2"/>
        <w:keepNext/>
        <w:pageBreakBefore w:val="0"/>
        <w:spacing w:after="80" w:before="160"/>
      </w:pPr>
      <w:r>
        <w:rPr>
          <w:rFonts w:ascii="Arial" w:cs="Times New Roman" w:eastAsia="Times New Roman" w:hAnsi="Arial"/>
          <w:b/>
          <w:bCs/>
          <w:color w:val="8E6F32"/>
          <w:sz w:val="24"/>
          <w:szCs w:val="26"/>
        </w:rPr>
        <w:t xml:space="preserve">Шаг 4. Претензия и соблюдение досудебного порядка</w:t>
      </w:r>
    </w:p>
    <w:p>
      <w:pPr>
        <w:pageBreakBefore w:val="0"/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Подготовьте претензию 12 и расчёт выбранной санкции. Для процентов по статье 395 ГК РФ используйте файл 14; договорную неустойку рассчитайте отдельно по условиям договора. Направьте документы на применимый адрес по ЕГРЮЛ и согласованным договором способом. Сохраните опись, почтовую квитанцию, идентификатор отправления и подтверждение доставки.</w:t>
      </w:r>
    </w:p>
    <w:p>
      <w:pPr>
        <w:pageBreakBefore w:val="0"/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Срок ответа на претензию {{СРОК_ОТВЕТА_НА_ПРЕТЕНЗИЮ}} определите по договору, а при отсутствии такого условия укажите в требовании. Отдельно установите срок ожидания перед подачей иска по части 5 статьи 4 АПК РФ, закону и договору. Зафиксируйте основание, продолжительность, дату начала и дату окончания. Подготовленный иск направляйте после истечения применимого срока.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/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/>
      </w:r>
    </w:p>
    <w:p>
      <w:pPr>
        <w:pStyle w:val="Heading2"/>
        <w:keepNext/>
        <w:pageBreakBefore w:val="0"/>
        <w:spacing w:after="80" w:before="160"/>
      </w:pPr>
      <w:r>
        <w:rPr>
          <w:rFonts w:ascii="Arial" w:cs="Times New Roman" w:eastAsia="Times New Roman" w:hAnsi="Arial"/>
          <w:b/>
          <w:bCs/>
          <w:color w:val="8E6F32"/>
          <w:sz w:val="24"/>
          <w:szCs w:val="26"/>
        </w:rPr>
        <w:t xml:space="preserve">При продолжающихся работах — проверка оснований приостановления</w:t>
      </w:r>
    </w:p>
    <w:p>
      <w:pPr>
        <w:pageBreakBefore w:val="0"/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Право приостановить работы не возникает из одной только неоплаты. Оно появляется, если по договору дальнейшие работы являются встречным исполнением по отношению к неисполненной оплате — встречность определена п. 1 ст. 328 ГК РФ, само право приостановить даёт п. 2 той же статьи, — либо если нарушение заказчика препятствует исполнению договора подрядчиком (п. 1 ст. 719 ГК РФ) — тот же пункт даёт это право и при наличии обстоятельств, очевидно свидетельствующих, что обязанности заказчика не будут исполнены в установленный срок; по п. 4 ст. 328 ГК РФ договором это право может быть исключено. Неоплата уже принятого и закрытого актом этапа сама по себе ни того, ни другого не образует. Приостановка несёт риск встречных претензий за срыв сроков: до решения сопоставьте условия договора, график и основания приостановки.</w:t>
      </w:r>
    </w:p>
    <w:p>
      <w:pPr>
        <w:pageBreakBefore w:val="0"/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При приостановлении исполнения на основании обстоятельств, очевидно свидетельствующих о будущей неоплате, предупредите заказчика в разумный срок с учётом пункта 57 постановления Пленума ВС РФ от 22.11.2016 № 54. В остальных случаях отдельно проверьте обязанность уведомления по закону и договору. Письменно зафиксируйте основание, дату, затронутые работы и меры сохранности. Сохраните подтверждение направления уведомления.</w:t>
      </w:r>
    </w:p>
    <w:p>
      <w:pPr>
        <w:pStyle w:val="Heading2"/>
        <w:keepNext/>
        <w:pageBreakBefore w:val="0"/>
        <w:spacing w:after="80" w:before="160"/>
      </w:pPr>
      <w:r>
        <w:rPr>
          <w:rFonts w:ascii="Arial" w:cs="Times New Roman" w:eastAsia="Times New Roman" w:hAnsi="Arial"/>
          <w:b/>
          <w:bCs/>
          <w:color w:val="8E6F32"/>
          <w:sz w:val="24"/>
          <w:szCs w:val="26"/>
        </w:rPr>
        <w:t xml:space="preserve">Шаг 5. Обращение в арбитражный суд</w:t>
      </w:r>
    </w:p>
    <w:p>
      <w:pPr>
        <w:pageBreakBefore w:val="0"/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Подготовьте иск 16, актуальные сведения ЕГРЮЛ об истце и ответчике, расчёт цены иска и государственной пошлины. Размер {{РАЗМЕР_ГОСПОШЛИНЫ}} проверьте по статье 333.21 НК РФ и калькулятору на официальном сайте суда. Подача осуществляется через систему «Мой арбитр» (my.arbitr.ru) либо на бумажном носителе.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/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/>
      </w:r>
    </w:p>
    <w:p>
      <w:pPr>
        <w:pageBreakBefore w:val="0"/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Перед подачей сопоставьте подписанные акты, расчёт и переписку. При встречных требованиях, экспертизе объёмов или споре о подписи добавьте подтверждающие материалы и уточните заявленные требования.</w:t>
      </w:r>
    </w:p>
    <w:p>
      <w:pPr>
        <w:pStyle w:val="Heading2"/>
        <w:keepNext/>
        <w:pageBreakBefore w:val="0"/>
        <w:spacing w:after="80" w:before="160"/>
      </w:pPr>
      <w:r>
        <w:rPr>
          <w:rFonts w:ascii="Arial" w:cs="Times New Roman" w:eastAsia="Times New Roman" w:hAnsi="Arial"/>
          <w:b/>
          <w:bCs/>
          <w:color w:val="8E6F32"/>
          <w:sz w:val="24"/>
          <w:szCs w:val="26"/>
        </w:rPr>
        <w:t xml:space="preserve">Шаг 6. Рассмотрение дела и получение решения</w:t>
      </w:r>
    </w:p>
    <w:p>
      <w:pPr>
        <w:pageBreakBefore w:val="0"/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Отслеживайте дело в kad.arbitr.ru, являйтесь на заседания или направьте представителя. После вступления решения в силу получите исполнительный лист.</w:t>
      </w:r>
    </w:p>
    <w:p>
      <w:pPr>
        <w:pStyle w:val="Heading2"/>
        <w:keepNext/>
        <w:pageBreakBefore w:val="0"/>
        <w:spacing w:after="80" w:before="160"/>
      </w:pPr>
      <w:r>
        <w:rPr>
          <w:rFonts w:ascii="Arial" w:cs="Times New Roman" w:eastAsia="Times New Roman" w:hAnsi="Arial"/>
          <w:b/>
          <w:bCs/>
          <w:color w:val="8E6F32"/>
          <w:sz w:val="24"/>
          <w:szCs w:val="26"/>
        </w:rPr>
        <w:t xml:space="preserve">Шаг 7. Предъявление исполнительного документа</w:t>
      </w:r>
    </w:p>
    <w:p>
      <w:pPr>
        <w:pageBreakBefore w:val="0"/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Варианты предъявления исполнительного листа:</w:t>
      </w:r>
    </w:p>
    <w:p>
      <w:pPr>
        <w:pStyle w:val="ListParagraph"/>
        <w:pageBreakBefore w:val="0"/>
        <w:numPr>
          <w:ilvl w:val="0"/>
          <w:numId w:val="2"/>
        </w:num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Предъявление в банк должника: при наличии сведений о счёте направьте исполнительный документ о взыскании денежных средств в порядке части 1 статьи 8 Закона № 229-ФЗ. Приложите заявление со сведениями, предусмотренными частью 2 этой статьи. Проверьте их полноту до направления, учитывая основание возврата по части 3.1 статьи 8.</w:t>
      </w:r>
    </w:p>
    <w:p>
      <w:pPr>
        <w:pStyle w:val="ListParagraph"/>
        <w:pageBreakBefore w:val="0"/>
        <w:numPr>
          <w:ilvl w:val="0"/>
          <w:numId w:val="2"/>
        </w:num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Предъявление в ФССП: определите место совершения исполнительных действий и соответствующее подразделение по Закону № 229-ФЗ. Подготовьте заявление, исполнительный документ и подтверждающие сведения.</w:t>
      </w:r>
    </w:p>
    <w:p>
      <w:pPr>
        <w:pageBreakBefore w:val="0"/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Результат шага: выбран способ предъявления исполнительного листа и собраны документы для него. Если исполнение задерживается или появились признаки банкротства, проверьте сведения о должнике и порядок предъявления требования.</w:t>
      </w:r>
    </w:p>
    <w:p>
      <w:pPr>
        <w:pStyle w:val="Heading1"/>
        <w:keepNext/>
        <w:pageBreakBefore w:val="0"/>
        <w:spacing w:after="80" w:before="160"/>
      </w:pPr>
      <w:r>
        <w:rPr>
          <w:rFonts w:ascii="Arial" w:cs="Times New Roman" w:eastAsia="Times New Roman" w:hAnsi="Arial"/>
          <w:b/>
          <w:bCs/>
          <w:color w:val="8E6F32"/>
          <w:sz w:val="24"/>
          <w:szCs w:val="32"/>
        </w:rPr>
        <w:t xml:space="preserve">Раздел Б. Работы выполнены, но акты не подписаны</w:t>
      </w:r>
    </w:p>
    <w:p>
      <w:pPr>
        <w:pageBreakBefore w:val="0"/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При уклонении заказчика от подписания актов подтвердите фактическое выполнение, извещение о готовности и передачу результата. Порядок оформления одностороннего акта проверьте по статье 753 ГК РФ. По пункту 4 этой статьи акт может быть признан судом недействительным, если мотивы отказа от подписания признаны обоснованными. Сопоставьте каждое возражение заказчика с документами об объёме и качестве.</w:t>
      </w:r>
    </w:p>
    <w:p>
      <w:pPr>
        <w:pageBreakBefore w:val="0"/>
        <w:spacing w:after="60" w:line="276"/>
      </w:pPr>
      <w:r>
        <w:rPr>
          <w:rFonts w:ascii="Arial" w:cs="Times New Roman" w:eastAsia="Times New Roman" w:hAnsi="Arial"/>
          <w:b/>
          <w:bCs/>
          <w:color w:val="262F37"/>
          <w:sz w:val="21"/>
          <w:szCs w:val="24"/>
        </w:rPr>
        <w:t xml:space="preserve">Документы для подтверждения сдачи работ:</w:t>
      </w:r>
    </w:p>
    <w:p>
      <w:pPr>
        <w:pStyle w:val="ListParagraph"/>
        <w:pageBreakBefore w:val="0"/>
        <w:numPr>
          <w:ilvl w:val="0"/>
          <w:numId w:val="2"/>
        </w:num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собрать журнал производства работ;</w:t>
      </w:r>
    </w:p>
    <w:p>
      <w:pPr>
        <w:pStyle w:val="ListParagraph"/>
        <w:pageBreakBefore w:val="0"/>
        <w:numPr>
          <w:ilvl w:val="0"/>
          <w:numId w:val="2"/>
        </w:num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собрать переписку о готовности к сдаче;</w:t>
      </w:r>
    </w:p>
    <w:p>
      <w:pPr>
        <w:pStyle w:val="ListParagraph"/>
        <w:pageBreakBefore w:val="0"/>
        <w:numPr>
          <w:ilvl w:val="0"/>
          <w:numId w:val="2"/>
        </w:num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направить уведомление о готовности к приёмке, если оно не направлялось;</w:t>
      </w:r>
    </w:p>
    <w:p>
      <w:pPr>
        <w:pStyle w:val="ListParagraph"/>
        <w:pageBreakBefore w:val="0"/>
        <w:numPr>
          <w:ilvl w:val="0"/>
          <w:numId w:val="2"/>
        </w:num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сделать фотофиксацию выполненного.</w:t>
      </w:r>
    </w:p>
    <w:p>
      <w:pPr>
        <w:pageBreakBefore w:val="0"/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Сопоставьте собранные материалы с мотивами отказа заказчика, оформите доказательства сдачи работ и подготовьте дальнейшие документы по односторонней приёмке.</w:t>
      </w:r>
    </w:p>
    <w:p>
      <w:pPr>
        <w:pStyle w:val="Heading1"/>
        <w:keepNext/>
        <w:pageBreakBefore w:val="0"/>
        <w:spacing w:after="80" w:before="160"/>
      </w:pPr>
      <w:r>
        <w:rPr>
          <w:rFonts w:ascii="Arial" w:cs="Times New Roman" w:eastAsia="Times New Roman" w:hAnsi="Arial"/>
          <w:b/>
          <w:bCs/>
          <w:color w:val="8E6F32"/>
          <w:sz w:val="24"/>
          <w:szCs w:val="32"/>
        </w:rPr>
        <w:t xml:space="preserve">Контрольные даты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  <w:cantSplit/>
        </w:trPr>
        <w:tc>
          <w:tcPr>
            <w:tcW w:type="dxa" w:w="240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2"/>
              </w:rPr>
              <w:t xml:space="preserve">Точка</w:t>
            </w:r>
          </w:p>
        </w:tc>
        <w:tc>
          <w:tcPr>
            <w:tcW w:type="dxa" w:w="420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2"/>
              </w:rPr>
              <w:t xml:space="preserve">Событие</w:t>
            </w:r>
          </w:p>
        </w:tc>
        <w:tc>
          <w:tcPr>
            <w:tcW w:type="dxa" w:w="276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Arial" w:cs="Times New Roman" w:eastAsia="Times New Roman" w:hAnsi="Arial"/>
                <w:b/>
                <w:bCs/>
                <w:color w:val="262F37"/>
                <w:sz w:val="19"/>
                <w:szCs w:val="22"/>
              </w:rPr>
              <w:t xml:space="preserve">Подтверждающий документ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2"/>
              </w:rPr>
              <w:t xml:space="preserve">День 1 просрочки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2"/>
              </w:rPr>
              <w:t xml:space="preserve">подтверждена сумма и дата начала просрочки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2"/>
              </w:rPr>
              <w:t xml:space="preserve">Проверка договора, актов и платежей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2"/>
              </w:rPr>
              <w:t xml:space="preserve">Дни 1–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9"/>
                <w:szCs w:val="22"/>
              </w:rPr>
              <w:t xml:space="preserve">{{ДЕНЬ_ОТПРАВКИ_ПРЕТЕНЗИИ}}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2"/>
              </w:rPr>
              <w:t xml:space="preserve">Уведомление, письменные переговоры, проверка должника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2"/>
              </w:rPr>
              <w:t xml:space="preserve">Уведомление 13, подтверждения направления, результаты проверки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2"/>
              </w:rPr>
              <w:t xml:space="preserve">День </w:t>
            </w:r>
            <w:r>
              <w:rPr>
                <w:rFonts w:ascii="Arial" w:cs="Times New Roman" w:eastAsia="Times New Roman" w:hAnsi="Arial"/>
                <w:b/>
                <w:bCs/>
                <w:i w:val="false"/>
                <w:iCs w:val="false"/>
                <w:color w:val="262F37"/>
                <w:sz w:val="19"/>
                <w:szCs w:val="22"/>
              </w:rPr>
              <w:t xml:space="preserve">{{ДЕНЬ_ОТПРАВКИ_ПРЕТЕНЗИИ}}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2"/>
              </w:rPr>
              <w:t xml:space="preserve">претензия с расчётом выбранной санкции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2"/>
              </w:rPr>
              <w:t xml:space="preserve">претензия, расчёт выбранной санкции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2"/>
              </w:rPr>
              <w:t xml:space="preserve">Дата окончания применимого досудебного ожидания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2"/>
              </w:rPr>
              <w:t xml:space="preserve">срок досудебного урегулирования истёк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2"/>
              </w:rPr>
              <w:t xml:space="preserve">Далее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2"/>
              </w:rPr>
              <w:t xml:space="preserve">иск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30" w:line="240"/>
            </w:pPr>
            <w:r>
              <w:rPr>
                <w:rFonts w:ascii="Arial" w:cs="Times New Roman" w:eastAsia="Times New Roman" w:hAnsi="Arial"/>
                <w:b w:val="false"/>
                <w:bCs w:val="false"/>
                <w:color w:val="262F37"/>
                <w:sz w:val="19"/>
                <w:szCs w:val="22"/>
              </w:rPr>
              <w:t xml:space="preserve">исковое заявление</w:t>
            </w:r>
          </w:p>
        </w:tc>
      </w:tr>
    </w:tbl>
    <w:p>
      <w:pPr>
        <w:pageBreakBefore w:val="0"/>
        <w:spacing w:after="60" w:line="276"/>
      </w:pPr>
    </w:p>
    <w:p>
      <w:pPr>
        <w:pageBreakBefore w:val="0"/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Даты внутренних проверок назначает ответственный за договор. Дату допустимого обращения в суд определите по применимому досудебному порядку. Укажите отдельно срок ответа на претензию и срок ожидания перед подачей иска. Перенос внутренней контрольной даты не изменяет договорные и процессуальные сроки.</w:t>
      </w:r>
    </w:p>
    <w:p>
      <w:pPr>
        <w:pageBreakBefore w:val="0"/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Проверьте срок исковой давности по главе 12 ГК РФ, включая статьи 196 и 200. По обязательству с определённым сроком исполнения начало течения определите после окончания срока оплаты по договору с учётом пункта 2 статьи 200. Зафиксируйте расчёт и дату внутреннего контроля до истечения срока.</w:t>
      </w:r>
    </w:p>
    <w:sectPr>
      <w:headerReference w:type="default" r:id="rId8"/>
      <w:footerReference w:type="default" r:id="rId9"/>
      <w:pgSz w:w="11906" w:h="16838" w:orient="portrait"/>
      <w:pgMar w:top="964" w:right="1020" w:bottom="964" w:left="10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  <w:pPr>
      <w:spacing w:after="70"/>
    </w:pPr>
    <w:rPr>
      <w:rFonts w:ascii="Arial" w:hAnsi="Arial"/>
      <w:color w:val="262F37"/>
      <w:sz w:val="21"/>
    </w:rPr>
  </w:style>
  <w:style w:type="table" w:styleId="TableNormal" w:default="true">
    <w:name w:val="Normal Table"/>
    <w:uiPriority w:val="99"/>
    <w:semiHidden/>
    <w:unhideWhenUsed/>
    <w:rPr>
      <w:rFonts w:ascii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180"/>
    </w:pPr>
    <w:rPr>
      <w:rFonts w:ascii="Arial" w:hAnsi="Arial"/>
      <w:b/>
      <w:color w:val="000000"/>
      <w:sz w:val="34"/>
      <w:szCs w:val="56"/>
    </w:rPr>
  </w:style>
  <w:style w:type="paragraph" w:styleId="Heading1">
    <w:name w:val="Heading 1"/>
    <w:basedOn w:val="Normal"/>
    <w:next w:val="Normal"/>
    <w:qFormat/>
    <w:rPr>
      <w:rFonts w:ascii="Arial" w:hAnsi="Arial"/>
      <w:color w:val="34383B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rial" w:hAnsi="Arial"/>
      <w:color w:val="34383B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Arial" w:hAnsi="Arial"/>
      <w:color w:val="34383B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Arial" w:hAnsi="Arial"/>
      <w:i/>
      <w:iCs/>
      <w:color w:val="34383B"/>
    </w:rPr>
  </w:style>
  <w:style w:type="paragraph" w:styleId="Heading5">
    <w:name w:val="Heading 5"/>
    <w:basedOn w:val="Normal"/>
    <w:next w:val="Normal"/>
    <w:qFormat/>
    <w:rPr>
      <w:rFonts w:ascii="Arial" w:hAnsi="Arial"/>
      <w:color w:val="34383B"/>
    </w:rPr>
  </w:style>
  <w:style w:type="paragraph" w:styleId="Heading6">
    <w:name w:val="Heading 6"/>
    <w:basedOn w:val="Normal"/>
    <w:next w:val="Normal"/>
    <w:qFormat/>
    <w:rPr>
      <w:rFonts w:ascii="Arial" w:hAnsi="Arial"/>
      <w:color w:val="34383B"/>
    </w:rPr>
  </w:style>
  <w:style w:type="paragraph" w:styleId="Strong">
    <w:name w:val="Strong"/>
    <w:basedOn w:val="Normal"/>
    <w:next w:val="Normal"/>
    <w:qFormat/>
    <w:rPr>
      <w:rFonts w:ascii="Arial" w:hAnsi="Arial"/>
      <w:b/>
      <w:bCs/>
    </w:rPr>
  </w:style>
  <w:style w:type="paragraph" w:styleId="ListParagraph">
    <w:name w:val="List Paragraph"/>
    <w:basedOn w:val="Normal"/>
    <w:qFormat/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Pr>
      <w:rFonts w:ascii="Arial" w:hAnsi="Arial"/>
      <w:color w:val="34383B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Arial" w:hAnsi="Arial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Arial" w:hAnsi="Arial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Arial" w:hAnsi="Arial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Arial" w:hAnsi="Arial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Arial" w:hAnsi="Arial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Arial" w:hAnsi="Arial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2026-10-09T01:00:24.830Z</dcterms:created>
  <dcterms:modified xsi:type="dcterms:W3CDTF">2026-10-09T01:00:24.830Z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