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ПОРЯДОК ПОДГОТОВКИ ОТВЕТА</w:t>
      </w:r>
    </w:p>
    <w:p>
      <w:pPr>
        <w:pStyle w:val="Heading1"/>
      </w:pPr>
      <w:r>
        <w:t>1. Получение и срок</w:t>
      </w:r>
    </w:p>
    <w:p>
      <w:r>
        <w:t>Зарегистрируйте дату и канал получения. Проверьте в договоре порядок претензионной переписки, адрес, срок ответа и способ его исчисления. Если речь о требовании лица вне договора, проверьте его указанное основание и отдельный порядок ответа. Запланируйте отправку с учётом доставки.</w:t>
      </w:r>
    </w:p>
    <w:p>
      <w:pPr>
        <w:pStyle w:val="Heading1"/>
      </w:pPr>
      <w:r>
        <w:t>2. Кому адресовать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2B3239"/>
                <w:sz w:val="17"/>
              </w:rPr>
              <w:t>Ситуация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2B3239"/>
                <w:sz w:val="17"/>
              </w:rPr>
              <w:t>Документ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Претензию направила сторона договора.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03; при гарантийном дефекте — 04.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Требование направил заказчик, с которым у субподрядчика нет прямого договора.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Проверьте исключение по закону или договору, соглашение сторон и переход права. Направьте 05 предъявителю и 06 стороне договора.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Требование касается причинения вреда имуществу или иному лицу.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Зафиксируйте факт, причинную связь, основание и размер отдельно; вопрос прямого договора не исчерпывает возможное требование о вреде.</w:t>
            </w:r>
          </w:p>
        </w:tc>
      </w:tr>
    </w:tbl>
    <w:p/>
    <w:p>
      <w:r>
        <w:t>Пункт 3 статьи 706 ГК РФ касается прямых требований заказчика и субподрядчика по нарушениям договоров с генеральным подрядчиком с оговоркой «если иное не предусмотрено законом или договором». Основание предъявителя проверяется по документам конкретной сделки.</w:t>
      </w:r>
    </w:p>
    <w:p>
      <w:pPr>
        <w:pStyle w:val="Heading1"/>
      </w:pPr>
      <w:r>
        <w:t>3. Разделение требований</w:t>
      </w:r>
    </w:p>
    <w:p>
      <w:r>
        <w:t>Заполните карту 01. По каждой позиции выпишите: точное требование, сумму и способ расчёта, договорное или иное основание, проверенный факт, возражение и документ с реквизитами. Частичное признание фиксируйте отдельно от спорной части.</w:t>
      </w:r>
    </w:p>
    <w:p>
      <w:r>
        <w:br w:type="page"/>
      </w:r>
    </w:p>
    <w:p>
      <w:pPr>
        <w:pStyle w:val="Heading1"/>
      </w:pPr>
      <w:r>
        <w:t>4. Сценарии проверки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2B3239"/>
                <w:sz w:val="17"/>
              </w:rPr>
              <w:t>Предмет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2B3239"/>
                <w:sz w:val="17"/>
              </w:rPr>
              <w:t>Проверка перед формулировкой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Неустойка, убытки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Пункт договора, период, база и ставка, связь с эпизодом, оплаченные суммы, дублирование. При доводе о несоразмерности приведите конкретные обстоятельства и расчёт; решение по ст. 333 ГК РФ принимает суд.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Недостатки при приёмке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Порядок приёмки, акт, замечания, извещение и подтверждение получения. Сверьте место, объём и характер недостатка.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Гарантийный дефект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Срок и объём гарантии, даты выявления и уведомления, эксплуатация, ремонт, происхождение дефекта. Организуйте осмотр с протоколом и участием сторон.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Работы смежных организаций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Граница работ, передача фронта, допуск третьих лиц, фото и акты до и после вмешательства.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Уменьшение оплаты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Сверьте основание и размер удержания или списания в одностороннем порядке с договором и расчётными документами; возражение зафиксируйте письменно.</w:t>
            </w:r>
          </w:p>
        </w:tc>
      </w:tr>
    </w:tbl>
    <w:p/>
    <w:p>
      <w:pPr>
        <w:pStyle w:val="Heading1"/>
      </w:pPr>
      <w:r>
        <w:t>5. Ответ и направление</w:t>
      </w:r>
    </w:p>
    <w:p>
      <w:r>
        <w:t>Из карты перенесите в ответ только подтверждённые факты. Недостающие документы запросите предметно; назначьте осмотр, если причина дефекта не установлена. Направьте ответ в установленный срок по согласованному каналу. Храните подписанную редакцию, список приложений и подтверждения направления и получения в одном деле.</w:t>
      </w:r>
    </w:p>
    <w:p>
      <w:pPr>
        <w:pStyle w:val="Heading1"/>
      </w:pPr>
      <w:r>
        <w:t>Контроль перед подписанием</w:t>
      </w:r>
    </w:p>
    <w:p>
      <w:r>
        <w:t>Проверьте наименование адресата, полномочия, номер и дату претензии, все требования и суммы, реквизиты договора и приложений. Удалите неприменимые строки и поля. Юридически значимую оговорку о непризнании спорной части сохраните.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AE8031"/>
        <w:sz w:val="15"/>
      </w:rPr>
      <w:t>НА СТОРОНЕ ПОДРЯДЧИКА  •  P10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B323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B323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AE8031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rial" w:hAnsi="Arial"/>
      <w:color w:val="2B323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