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AE8031"/>
        </w:rPr>
        <w:t>Письменное поручение на дополнительные работы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Поручение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Инициатор и основание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Инициатор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Ф. И. О., должность, организация, документ о полномочиях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Письмо / указание / протокол № [___] от [___]; изменяемый чертёж или ведомость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Отличие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Что отсутствует в договорном объёме и почему требуется отдельно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Состав поручения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№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Работа и точное место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Доп. объём и ед.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Исходный документ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1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2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3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</w:tbl>
    <w:p>
      <w:r>
        <w:rPr>
          <w:rFonts w:ascii="Arial" w:hAnsi="Arial"/>
        </w:rPr>
        <w:t>Позиции и границы также зафиксированы в форме 02 № [___] от [___]. При необходимости приложите схему с отметкой зоны и измеряемых объёмов.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Условия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Начало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Планируемая дата [___]; условие начала по договору / соглашению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Стоимость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Расчёт 07 № [___] от [___]; соглашение 11 № [___] от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Срок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Влияние на этапы [___]; обоснование 05 № [___] от [___]; соглашение 12 № [___] от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Приёмка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Документы и критерии по договору [___], включая скрываемые работы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Схема / ведомость / фото / расчёт: наименование, № и дата [___]</w:t>
            </w:r>
          </w:p>
        </w:tc>
      </w:tr>
    </w:tbl>
    <w:p>
      <w:r>
        <w:rPr>
          <w:rFonts w:ascii="Arial" w:hAnsi="Arial"/>
        </w:rPr>
        <w:t>Если цена, срок или другие условия договора меняются, оформите соответствующее соглашение сторон. Поручение фиксирует задание и его источник. Ссылки на соглашения 11 и 12 укажите, только если они подписаны до подписания поручения. Подписанное поручение позднее не дополняйте: ссылку на него внесите в соглашение 11 и журнал 08.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493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Основание полномочий [___]</w:t>
            </w:r>
          </w:p>
        </w:tc>
      </w:tr>
      <w:tr>
        <w:trPr>
          <w:cantSplit/>
        </w:trPr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  <w:tc>
          <w:tcPr>
            <w:tcW w:type="dxa" w:w="493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Подпись [___]  Дата [___]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