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Какие работы требуют акта освидетельствования</w:t>
      </w:r>
    </w:p>
    <w:p/>
    <w:p>
      <w:r>
        <w:t>Освидетельствованию подлежат работы, которые отвечают двум условиям сразу: они влияют на безопасность объекта и проконтролировать их после выполнения следующих работ уже нельзя. Оба условия действуют вместе, а не по выбору. Признак, таким образом, не в названии работы и не в её стоимости — он в том, что узел отвечает за безопасность и через шаг станет недоступен. Отсюда правило: перечень определяется не привычкой участка, а проектом и технологической последовательностью на конкретном объекте.</w:t>
      </w:r>
    </w:p>
    <w:p>
      <w:r>
        <w:t>На практике перечень бывает шире нормы: договор и требования заказчика добавляют узлы, которые под оба условия не подходят. Это не ошибка — лишний акт стоит дешевле недостающего, — но и не норма, и спорить о перечне надо, различая одно и другое.</w:t>
      </w:r>
    </w:p>
    <w:p>
      <w:pPr>
        <w:pStyle w:val="Heading1"/>
      </w:pPr>
      <w:r>
        <w:t>Как определить перечень на своём объекте</w:t>
      </w:r>
    </w:p>
    <w:p>
      <w:pPr>
        <w:pStyle w:val="ListNumber"/>
      </w:pPr>
      <w:r>
        <w:t>Выпишите из проекта последовательность работ по каждому конструктиву: что за чем закрывается.</w:t>
      </w:r>
    </w:p>
    <w:p>
      <w:pPr>
        <w:pStyle w:val="ListNumber"/>
      </w:pPr>
      <w:r>
        <w:t>Отметьте каждый переход, после которого предыдущий слой становится недоступен для осмотра без вскрытия.</w:t>
      </w:r>
    </w:p>
    <w:p>
      <w:pPr>
        <w:pStyle w:val="ListNumber"/>
      </w:pPr>
      <w:r>
        <w:t>Сверьте полученный перечень с разделом договора о приёмке скрытых работ и с требованиями заказчика к составу документации.</w:t>
      </w:r>
    </w:p>
    <w:p>
      <w:pPr>
        <w:pStyle w:val="ListNumber"/>
      </w:pPr>
      <w:r>
        <w:t>Разногласия по перечню снимайте письменно до начала работ, а не в день вызова на освидетельствование.</w:t>
      </w:r>
    </w:p>
    <w:p>
      <w:pPr>
        <w:pStyle w:val="Heading1"/>
      </w:pPr>
      <w:r>
        <w:t>Типовые узлы, которые закрываются последующими работами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Что закрывается</w:t>
            </w:r>
          </w:p>
        </w:tc>
        <w:tc>
          <w:tcPr>
            <w:tcW w:type="dxa" w:w="2880"/>
          </w:tcPr>
          <w:p>
            <w:r>
              <w:t>Чем закрывается</w:t>
            </w:r>
          </w:p>
        </w:tc>
      </w:tr>
      <w:tr>
        <w:tc>
          <w:tcPr>
            <w:tcW w:type="dxa" w:w="2880"/>
          </w:tcPr>
          <w:p>
            <w:r>
              <w:t>Земляные работы и основания</w:t>
            </w:r>
          </w:p>
        </w:tc>
        <w:tc>
          <w:tcPr>
            <w:tcW w:type="dxa" w:w="2880"/>
          </w:tcPr>
          <w:p>
            <w:r>
              <w:t>Дно котлована, уплотнение грунта, подготовка основания</w:t>
            </w:r>
          </w:p>
        </w:tc>
        <w:tc>
          <w:tcPr>
            <w:tcW w:type="dxa" w:w="2880"/>
          </w:tcPr>
          <w:p>
            <w:r>
              <w:t>Подбетонка, фундаментная плита, обратная засыпка</w:t>
            </w:r>
          </w:p>
        </w:tc>
      </w:tr>
      <w:tr>
        <w:tc>
          <w:tcPr>
            <w:tcW w:type="dxa" w:w="2880"/>
          </w:tcPr>
          <w:p>
            <w:r>
              <w:t>Фундаменты и монолит</w:t>
            </w:r>
          </w:p>
        </w:tc>
        <w:tc>
          <w:tcPr>
            <w:tcW w:type="dxa" w:w="2880"/>
          </w:tcPr>
          <w:p>
            <w:r>
              <w:t>Арматурный каркас, закладные детали, антикоррозийная защита</w:t>
            </w:r>
          </w:p>
        </w:tc>
        <w:tc>
          <w:tcPr>
            <w:tcW w:type="dxa" w:w="2880"/>
          </w:tcPr>
          <w:p>
            <w:r>
              <w:t>Бетонирование</w:t>
            </w:r>
          </w:p>
        </w:tc>
      </w:tr>
      <w:tr>
        <w:tc>
          <w:tcPr>
            <w:tcW w:type="dxa" w:w="2880"/>
          </w:tcPr>
          <w:p>
            <w:r>
              <w:t>Гидро- и теплоизоляция</w:t>
            </w:r>
          </w:p>
        </w:tc>
        <w:tc>
          <w:tcPr>
            <w:tcW w:type="dxa" w:w="2880"/>
          </w:tcPr>
          <w:p>
            <w:r>
              <w:t>Подготовка поверхности, слои изоляции, нахлёсты и примыкания</w:t>
            </w:r>
          </w:p>
        </w:tc>
        <w:tc>
          <w:tcPr>
            <w:tcW w:type="dxa" w:w="2880"/>
          </w:tcPr>
          <w:p>
            <w:r>
              <w:t>Защитная стяжка, обратная засыпка, отделка</w:t>
            </w:r>
          </w:p>
        </w:tc>
      </w:tr>
      <w:tr>
        <w:tc>
          <w:tcPr>
            <w:tcW w:type="dxa" w:w="2880"/>
          </w:tcPr>
          <w:p>
            <w:r>
              <w:t>Инженерные сети</w:t>
            </w:r>
          </w:p>
        </w:tc>
        <w:tc>
          <w:tcPr>
            <w:tcW w:type="dxa" w:w="2880"/>
          </w:tcPr>
          <w:p>
            <w:r>
              <w:t>Трубопроводы и кабели в штробах и полах, футляры, уклоны, испытания</w:t>
            </w:r>
          </w:p>
        </w:tc>
        <w:tc>
          <w:tcPr>
            <w:tcW w:type="dxa" w:w="2880"/>
          </w:tcPr>
          <w:p>
            <w:r>
              <w:t>Стяжка, зашивка, штукатурка, подвесной потолок</w:t>
            </w:r>
          </w:p>
        </w:tc>
      </w:tr>
      <w:tr>
        <w:tc>
          <w:tcPr>
            <w:tcW w:type="dxa" w:w="2880"/>
          </w:tcPr>
          <w:p>
            <w:r>
              <w:t>Кровля</w:t>
            </w:r>
          </w:p>
        </w:tc>
        <w:tc>
          <w:tcPr>
            <w:tcW w:type="dxa" w:w="2880"/>
          </w:tcPr>
          <w:p>
            <w:r>
              <w:t>Основание под кровлю, пароизоляция, утеплитель, примыкания</w:t>
            </w:r>
          </w:p>
        </w:tc>
        <w:tc>
          <w:tcPr>
            <w:tcW w:type="dxa" w:w="2880"/>
          </w:tcPr>
          <w:p>
            <w:r>
              <w:t>Верхние слои покрытия</w:t>
            </w:r>
          </w:p>
        </w:tc>
      </w:tr>
      <w:tr>
        <w:tc>
          <w:tcPr>
            <w:tcW w:type="dxa" w:w="2880"/>
          </w:tcPr>
          <w:p>
            <w:r>
              <w:t>Отделка и полы</w:t>
            </w:r>
          </w:p>
        </w:tc>
        <w:tc>
          <w:tcPr>
            <w:tcW w:type="dxa" w:w="2880"/>
          </w:tcPr>
          <w:p>
            <w:r>
              <w:t>Основание, стяжка, армирование, звукоизоляция</w:t>
            </w:r>
          </w:p>
        </w:tc>
        <w:tc>
          <w:tcPr>
            <w:tcW w:type="dxa" w:w="2880"/>
          </w:tcPr>
          <w:p>
            <w:r>
              <w:t>Чистовое покрытие</w:t>
            </w:r>
          </w:p>
        </w:tc>
      </w:tr>
      <w:tr>
        <w:tc>
          <w:tcPr>
            <w:tcW w:type="dxa" w:w="2880"/>
          </w:tcPr>
          <w:p>
            <w:r>
              <w:t>Фасады и наружные ограждающие</w:t>
            </w:r>
          </w:p>
        </w:tc>
        <w:tc>
          <w:tcPr>
            <w:tcW w:type="dxa" w:w="2880"/>
          </w:tcPr>
          <w:p>
            <w:r>
              <w:t>Узлы крепления навесных систем, анкеровка, деформационные швы, герметизация стыков</w:t>
            </w:r>
          </w:p>
        </w:tc>
        <w:tc>
          <w:tcPr>
            <w:tcW w:type="dxa" w:w="2880"/>
          </w:tcPr>
          <w:p>
            <w:r>
              <w:t>Облицовка, финишный слой</w:t>
            </w:r>
          </w:p>
        </w:tc>
      </w:tr>
      <w:tr>
        <w:tc>
          <w:tcPr>
            <w:tcW w:type="dxa" w:w="2880"/>
          </w:tcPr>
          <w:p>
            <w:r>
              <w:t>Огнезащита и электрозащита</w:t>
            </w:r>
          </w:p>
        </w:tc>
        <w:tc>
          <w:tcPr>
            <w:tcW w:type="dxa" w:w="2880"/>
          </w:tcPr>
          <w:p>
            <w:r>
              <w:t>Огнезащитная обработка конструкций, заземляющий контур, молниезащита</w:t>
            </w:r>
          </w:p>
        </w:tc>
        <w:tc>
          <w:tcPr>
            <w:tcW w:type="dxa" w:w="2880"/>
          </w:tcPr>
          <w:p>
            <w:r>
              <w:t>Зашивка, подвесной потолок, обратная засыпка</w:t>
            </w:r>
          </w:p>
        </w:tc>
      </w:tr>
      <w:tr>
        <w:tc>
          <w:tcPr>
            <w:tcW w:type="dxa" w:w="2880"/>
          </w:tcPr>
          <w:p>
            <w:r>
              <w:t>Свайные работы и наружные сети</w:t>
            </w:r>
          </w:p>
        </w:tc>
        <w:tc>
          <w:tcPr>
            <w:tcW w:type="dxa" w:w="2880"/>
          </w:tcPr>
          <w:p>
            <w:r>
              <w:t>Погружение и бетонирование свай, основания под наружные трубопроводы</w:t>
            </w:r>
          </w:p>
        </w:tc>
        <w:tc>
          <w:tcPr>
            <w:tcW w:type="dxa" w:w="2880"/>
          </w:tcPr>
          <w:p>
            <w:r>
              <w:t>Ростверк, засыпка траншеи</w:t>
            </w:r>
          </w:p>
        </w:tc>
      </w:tr>
    </w:tbl>
    <w:p/>
    <w:p>
      <w:r>
        <w:t>Таблица — не перечень для копирования в договор, а способ не пропустить узел при разборе своего проекта. Состав по объекту всегда шире или уже: он определяется проектом.</w:t>
      </w:r>
    </w:p>
    <w:p>
      <w:r>
        <w:t>И ещё одно, из-за чего документ переделывают уже после сдачи: акт освидетельствования скрытых работ — не единственная форма. Отдельными актами закрываются разбивка осей, ответственные конструкции и участки сетей инженерно-технического обеспечения. Несущий монолит после бетонирования и смонтированный участок сети — частые случаи, когда узел из таблицы выше закрывается не актом скрытых работ, а своей формой. Вид акта определяется предметом, и его стоит уточнить до оформления, а не при сдаче комплекта.</w:t>
      </w:r>
    </w:p>
    <w:p>
      <w:pPr>
        <w:pStyle w:val="Heading1"/>
      </w:pPr>
      <w:r>
        <w:t>Признак, по которому решают спорный случай</w:t>
      </w:r>
    </w:p>
    <w:p>
      <w:pPr>
        <w:pStyle w:val="ListBullet"/>
      </w:pPr>
      <w:r>
        <w:t>Можно ли будет осмотреть результат без вскрытия конструкции после следующей работы — если нет, первое условие выполнено.</w:t>
      </w:r>
    </w:p>
    <w:p>
      <w:pPr>
        <w:pStyle w:val="ListBullet"/>
      </w:pPr>
      <w:r>
        <w:t>Влияет ли узел на безопасность объекта — если да, выполнено и второе, и узел освидетельствуется. Один признак без другого нормой не считается, но часто закрывается актом по требованию договора.</w:t>
      </w:r>
    </w:p>
    <w:p>
      <w:pPr>
        <w:pStyle w:val="ListBullet"/>
      </w:pPr>
      <w:r>
        <w:t>Требует ли заказчик или проект отдельного акта на этот узел — требование фиксируется до начала, а не оспаривается после.</w:t>
      </w:r>
    </w:p>
    <w:p>
      <w:pPr>
        <w:pStyle w:val="Heading1"/>
      </w:pPr>
      <w:r>
        <w:t>Чего этот файл не делает</w:t>
      </w:r>
    </w:p>
    <w:p>
      <w:r>
        <w:t>Материал показывает, что проверить, и не заменяет проверку конкретной ситуации специалистом. Перечень работ, подлежащих освидетельствованию, и требования к оформлению задаются проектной документацией, договором и действующей редакцией правил ведения исполнительной документации — сверяйтесь с ними, а не с этим файлом.</w:t>
      </w:r>
    </w:p>
    <w:p>
      <w:pPr>
        <w:pStyle w:val="Heading1"/>
      </w:pPr>
      <w:r>
        <w:t>Где начинается специалист</w:t>
      </w:r>
    </w:p>
    <w:p>
      <w:r>
        <w:t>Спор о качестве работ, судебная экспертиза, представительство и оценка перспектив дела — работа юриста и профильного эксперта. Этот файл до спора: он помогает не потерять акт там, где его ещё можно оформить.</w:t>
      </w:r>
    </w:p>
    <w:p>
      <w:pPr>
        <w:pStyle w:val="Heading1"/>
      </w:pPr>
      <w:r>
        <w:t>Чего здесь нет</w:t>
      </w:r>
    </w:p>
    <w:p>
      <w:pPr>
        <w:pStyle w:val="ListBullet"/>
      </w:pPr>
      <w:r>
        <w:t>формы акта и исполнительной схемы</w:t>
      </w:r>
    </w:p>
    <w:p>
      <w:pPr>
        <w:pStyle w:val="ListBullet"/>
      </w:pPr>
      <w:r>
        <w:t>журналов работ и входного контроля</w:t>
      </w:r>
    </w:p>
    <w:p>
      <w:pPr>
        <w:pStyle w:val="ListBullet"/>
      </w:pPr>
      <w:r>
        <w:t>порядка действий, когда акт уже не подписывают</w:t>
      </w:r>
    </w:p>
    <w:p>
      <w:pPr>
        <w:pStyle w:val="Heading1"/>
      </w:pPr>
      <w:r>
        <w:t>Где это лежит</w:t>
      </w:r>
    </w:p>
    <w:p>
      <w:r>
        <w:t>Формы и журналы — в комплекте «Акты скрытых работ и исполнительная документация»: заготовки актов освидетельствования, шаблон исполнительной схемы, общий журнал работ, журнал входного контроля, реестры паспортов и сертификатов, уведомление о готовности, акт приёмки документации, письмо на замечания и график их устранения. Страница комплекта — /products/p4-ispolnitelnaya-dokumentaciya-pto.html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