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СРАВНИТЕЛЬНАЯ ТАБЛИЦА: комплект КС перед отправкой и возвращённый комплект</w:t>
      </w:r>
    </w:p>
    <w:p/>
    <w:p>
      <w:pPr>
        <w:pStyle w:val="Heading1"/>
      </w:pPr>
      <w:r>
        <w:t>Как читать таблицу</w:t>
      </w:r>
    </w:p>
    <w:p>
      <w:r>
        <w:t>Таблица сводит в одну таблицу проверочный лист (01) и типовые ошибки (09) этого комплекта. Во втором столбце — как признак должен выглядеть перед отправкой, в третьем — как он выглядит в комплекте, который вернули. Последний столбец говорит, каким файлом комплекта признак проверить. Приёмку таблица не гарантирует: требования к комплекту задают договор и заказчик, и они главнее.</w:t>
      </w:r>
    </w:p>
    <w:p>
      <w:pPr>
        <w:pStyle w:val="Heading1"/>
      </w:pPr>
      <w:r>
        <w:t>Признаки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Признак</w:t>
            </w:r>
          </w:p>
        </w:tc>
        <w:tc>
          <w:tcPr>
            <w:tcW w:type="dxa" w:w="2160"/>
          </w:tcPr>
          <w:p>
            <w:r>
              <w:t>Перед отправкой</w:t>
            </w:r>
          </w:p>
        </w:tc>
        <w:tc>
          <w:tcPr>
            <w:tcW w:type="dxa" w:w="2160"/>
          </w:tcPr>
          <w:p>
            <w:r>
              <w:t>В возвращённом комплекте</w:t>
            </w:r>
          </w:p>
        </w:tc>
        <w:tc>
          <w:tcPr>
            <w:tcW w:type="dxa" w:w="2160"/>
          </w:tcPr>
          <w:p>
            <w:r>
              <w:t>Чем проверить</w:t>
            </w:r>
          </w:p>
        </w:tc>
      </w:tr>
      <w:tr>
        <w:tc>
          <w:tcPr>
            <w:tcW w:type="dxa" w:w="2160"/>
          </w:tcPr>
          <w:p>
            <w:r>
              <w:t>Наименование объекта</w:t>
            </w:r>
          </w:p>
        </w:tc>
        <w:tc>
          <w:tcPr>
            <w:tcW w:type="dxa" w:w="2160"/>
          </w:tcPr>
          <w:p>
            <w:r>
              <w:t>Одно и то же во всех документах, дословно из договора</w:t>
            </w:r>
          </w:p>
        </w:tc>
        <w:tc>
          <w:tcPr>
            <w:tcW w:type="dxa" w:w="2160"/>
          </w:tcPr>
          <w:p>
            <w:r>
              <w:t>В КС-2, КС-3 и актах объект назван по-разному: копировали из договора, разрешения и проекта</w:t>
            </w:r>
          </w:p>
        </w:tc>
        <w:tc>
          <w:tcPr>
            <w:tcW w:type="dxa" w:w="2160"/>
          </w:tcPr>
          <w:p>
            <w:r>
              <w:t>01, п. 1.2; 09, ошибка 1</w:t>
            </w:r>
          </w:p>
        </w:tc>
      </w:tr>
      <w:tr>
        <w:tc>
          <w:tcPr>
            <w:tcW w:type="dxa" w:w="2160"/>
          </w:tcPr>
          <w:p>
            <w:r>
              <w:t>Нумерация КС-2</w:t>
            </w:r>
          </w:p>
        </w:tc>
        <w:tc>
          <w:tcPr>
            <w:tcW w:type="dxa" w:w="2160"/>
          </w:tcPr>
          <w:p>
            <w:r>
              <w:t>Без пропусков и дублей; аннулированный акт отмечен записью</w:t>
            </w:r>
          </w:p>
        </w:tc>
        <w:tc>
          <w:tcPr>
            <w:tcW w:type="dxa" w:w="2160"/>
          </w:tcPr>
          <w:p>
            <w:r>
              <w:t>Пропущен номер: аннулирование не записано или прорабы нумеруют независимо</w:t>
            </w:r>
          </w:p>
        </w:tc>
        <w:tc>
          <w:tcPr>
            <w:tcW w:type="dxa" w:w="2160"/>
          </w:tcPr>
          <w:p>
            <w:r>
              <w:t>01, п. 2.1; 09, ошибка 2</w:t>
            </w:r>
          </w:p>
        </w:tc>
      </w:tr>
      <w:tr>
        <w:tc>
          <w:tcPr>
            <w:tcW w:type="dxa" w:w="2160"/>
          </w:tcPr>
          <w:p>
            <w:r>
              <w:t>Суммы КС-2 и КС-3</w:t>
            </w:r>
          </w:p>
        </w:tc>
        <w:tc>
          <w:tcPr>
            <w:tcW w:type="dxa" w:w="2160"/>
          </w:tcPr>
          <w:p>
            <w:r>
              <w:t>Итог КС-3 взят из КС-2</w:t>
            </w:r>
          </w:p>
        </w:tc>
        <w:tc>
          <w:tcPr>
            <w:tcW w:type="dxa" w:w="2160"/>
          </w:tcPr>
          <w:p>
            <w:r>
              <w:t>Суммы расходятся: ручное округление, ошибка в формуле, разные ставки НДС</w:t>
            </w:r>
          </w:p>
        </w:tc>
        <w:tc>
          <w:tcPr>
            <w:tcW w:type="dxa" w:w="2160"/>
          </w:tcPr>
          <w:p>
            <w:r>
              <w:t>01, п. 2.3; 09, ошибка 3</w:t>
            </w:r>
          </w:p>
        </w:tc>
      </w:tr>
      <w:tr>
        <w:tc>
          <w:tcPr>
            <w:tcW w:type="dxa" w:w="2160"/>
          </w:tcPr>
          <w:p>
            <w:r>
              <w:t>Акты скрытых работ</w:t>
            </w:r>
          </w:p>
        </w:tc>
        <w:tc>
          <w:tcPr>
            <w:tcW w:type="dxa" w:w="2160"/>
          </w:tcPr>
          <w:p>
            <w:r>
              <w:t>На каждую скрытую работу из КС-2 есть акт; акты приложены и названы в перечне приложений</w:t>
            </w:r>
          </w:p>
        </w:tc>
        <w:tc>
          <w:tcPr>
            <w:tcW w:type="dxa" w:w="2160"/>
          </w:tcPr>
          <w:p>
            <w:r>
              <w:t>Работы выполнены, акты составлены, но к КС-2 не приложены</w:t>
            </w:r>
          </w:p>
        </w:tc>
        <w:tc>
          <w:tcPr>
            <w:tcW w:type="dxa" w:w="2160"/>
          </w:tcPr>
          <w:p>
            <w:r>
              <w:t>01, раздел 5; 02; 03; 09, ошибка 4</w:t>
            </w:r>
          </w:p>
        </w:tc>
      </w:tr>
      <w:tr>
        <w:tc>
          <w:tcPr>
            <w:tcW w:type="dxa" w:w="2160"/>
          </w:tcPr>
          <w:p>
            <w:r>
              <w:t>Документы о качестве</w:t>
            </w:r>
          </w:p>
        </w:tc>
        <w:tc>
          <w:tcPr>
            <w:tcW w:type="dxa" w:w="2160"/>
          </w:tcPr>
          <w:p>
            <w:r>
              <w:t>Действуют на дату работ и соответствуют маркам материалов</w:t>
            </w:r>
          </w:p>
        </w:tc>
        <w:tc>
          <w:tcPr>
            <w:tcW w:type="dxa" w:w="2160"/>
          </w:tcPr>
          <w:p>
            <w:r>
              <w:t>Сертификат действовал на дату закупки, но не на дату работ</w:t>
            </w:r>
          </w:p>
        </w:tc>
        <w:tc>
          <w:tcPr>
            <w:tcW w:type="dxa" w:w="2160"/>
          </w:tcPr>
          <w:p>
            <w:r>
              <w:t>01, раздел 4; 09, ошибка 5</w:t>
            </w:r>
          </w:p>
        </w:tc>
      </w:tr>
      <w:tr>
        <w:tc>
          <w:tcPr>
            <w:tcW w:type="dxa" w:w="2160"/>
          </w:tcPr>
          <w:p>
            <w:r>
              <w:t>Даты</w:t>
            </w:r>
          </w:p>
        </w:tc>
        <w:tc>
          <w:tcPr>
            <w:tcW w:type="dxa" w:w="2160"/>
          </w:tcPr>
          <w:p>
            <w:r>
              <w:t>Существуют в календаре; начало периода не позже окончания</w:t>
            </w:r>
          </w:p>
        </w:tc>
        <w:tc>
          <w:tcPr>
            <w:tcW w:type="dxa" w:w="2160"/>
          </w:tcPr>
          <w:p>
            <w:r>
              <w:t>31 февраля, 32-е число, окончание раньше начала</w:t>
            </w:r>
          </w:p>
        </w:tc>
        <w:tc>
          <w:tcPr>
            <w:tcW w:type="dxa" w:w="2160"/>
          </w:tcPr>
          <w:p>
            <w:r>
              <w:t>01, п. 2.2; 09, ошибка 6</w:t>
            </w:r>
          </w:p>
        </w:tc>
      </w:tr>
      <w:tr>
        <w:tc>
          <w:tcPr>
            <w:tcW w:type="dxa" w:w="2160"/>
          </w:tcPr>
          <w:p>
            <w:r>
              <w:t>Подписи</w:t>
            </w:r>
          </w:p>
        </w:tc>
        <w:tc>
          <w:tcPr>
            <w:tcW w:type="dxa" w:w="2160"/>
          </w:tcPr>
          <w:p>
            <w:r>
              <w:t>Стоят все подписи, которые требует договор</w:t>
            </w:r>
          </w:p>
        </w:tc>
        <w:tc>
          <w:tcPr>
            <w:tcW w:type="dxa" w:w="2160"/>
          </w:tcPr>
          <w:p>
            <w:r>
              <w:t>Нет подписи бухгалтера: он не участвовал во внутренней проверке</w:t>
            </w:r>
          </w:p>
        </w:tc>
        <w:tc>
          <w:tcPr>
            <w:tcW w:type="dxa" w:w="2160"/>
          </w:tcPr>
          <w:p>
            <w:r>
              <w:t>01, п. 2.4; 04; 09, ошибка 7</w:t>
            </w:r>
          </w:p>
        </w:tc>
      </w:tr>
    </w:tbl>
    <w:p/>
    <w:p>
      <w:pPr>
        <w:pStyle w:val="Heading1"/>
      </w:pPr>
      <w:r>
        <w:t>Когда все признаки сошлись</w:t>
      </w:r>
    </w:p>
    <w:p>
      <w:r>
        <w:t>Внутреннюю проверку оформите протоколом (04), передачу комплекта — записью в журнале передачи (06). Если замечания всё-таки пришли, ответ готовится по шаблону письма (05).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2026-09-28T00:00:00Z</dcterms:created>
  <dcterms:modified xsi:type="dcterms:W3CDTF">2026-09-28T00:00:00Z</dcterms:modified>
  <cp:category/>
</cp:coreProperties>
</file>