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Ошибки перед сдачей КС и порядок исправления</w:t>
      </w:r>
    </w:p>
    <w:p>
      <w:pPr>
        <w:pStyle w:val="Heading2"/>
      </w:pPr>
      <w:r>
        <w:t>1. Разные договоры или объекты</w:t>
      </w:r>
    </w:p>
    <w:p>
      <w:pPr>
        <w:spacing w:after="100"/>
      </w:pPr>
      <w:r>
        <w:rPr>
          <w:b w:val="0"/>
          <w:i w:val="0"/>
          <w:sz w:val="20"/>
        </w:rPr>
        <w:t>Сверьте реквизиты по договору и действующей проектной документации. При различии названий составьте однозначное сопоставление, не стирая фактические реквизиты.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раздел 1.</w:t>
      </w:r>
    </w:p>
    <w:p>
      <w:pPr>
        <w:pStyle w:val="Heading2"/>
      </w:pPr>
      <w:r>
        <w:t>2. Повторный номер или объём КС-2</w:t>
      </w:r>
    </w:p>
    <w:p>
      <w:pPr>
        <w:spacing w:after="100"/>
      </w:pPr>
      <w:r>
        <w:rPr>
          <w:b w:val="0"/>
          <w:i w:val="0"/>
          <w:sz w:val="20"/>
        </w:rPr>
        <w:t>Проверьте журнал учёта, предыдущие акты и аннулированные записи. Повторное предъявление уберите, пропуски объясните.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1.6 и 1.10.</w:t>
      </w:r>
    </w:p>
    <w:p>
      <w:pPr>
        <w:pStyle w:val="Heading2"/>
      </w:pPr>
      <w:r>
        <w:t>3. Неверные единицы измерения</w:t>
      </w:r>
    </w:p>
    <w:p>
      <w:pPr>
        <w:spacing w:after="100"/>
      </w:pPr>
      <w:r>
        <w:rPr>
          <w:b w:val="0"/>
          <w:i w:val="0"/>
          <w:sz w:val="20"/>
        </w:rPr>
        <w:t>Сопоставьте замер с единицей сметы. Пересчитайте измерители на 10/100 единиц и проверьте стоимость строки.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2.1–2.4.</w:t>
      </w:r>
    </w:p>
    <w:p>
      <w:pPr>
        <w:pStyle w:val="Heading2"/>
      </w:pPr>
      <w:r>
        <w:t>4. Один КС-2 сравнивается со всей КС-3</w:t>
      </w:r>
    </w:p>
    <w:p>
      <w:pPr>
        <w:spacing w:after="100"/>
      </w:pPr>
      <w:r>
        <w:rPr>
          <w:b w:val="0"/>
          <w:i w:val="0"/>
          <w:sz w:val="20"/>
        </w:rPr>
        <w:t>Составьте перечень актов и прочих затрат за период. Сверьте их сумму с показателем периода, а накопительные итоги — отдельно.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раздел 3.</w:t>
      </w:r>
    </w:p>
    <w:p>
      <w:pPr>
        <w:pStyle w:val="Heading2"/>
      </w:pPr>
      <w:r>
        <w:t>5. Путаница периода и накопительного итога</w:t>
      </w:r>
    </w:p>
    <w:p>
      <w:pPr>
        <w:spacing w:after="100"/>
      </w:pPr>
      <w:r>
        <w:rPr>
          <w:b w:val="0"/>
          <w:i w:val="0"/>
          <w:sz w:val="20"/>
        </w:rPr>
        <w:t>Разделите показатели «за период», «с начала года» и «с начала работ». При смене года проверьте перенос только соответствующего итога.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3.3–3.5.</w:t>
      </w:r>
    </w:p>
    <w:p>
      <w:r>
        <w:br w:type="page"/>
      </w:r>
    </w:p>
    <w:p>
      <w:pPr>
        <w:pStyle w:val="Heading1"/>
      </w:pPr>
      <w:r>
        <w:t>Ошибки перед сдачей КС</w:t>
      </w:r>
    </w:p>
    <w:p>
      <w:pPr>
        <w:pStyle w:val="Heading2"/>
      </w:pPr>
      <w:r>
        <w:t>6. Сравниваются суммы с НДС и без НДС</w:t>
      </w:r>
    </w:p>
    <w:p>
      <w:pPr>
        <w:spacing w:after="100"/>
      </w:pPr>
      <w:r>
        <w:rPr>
          <w:b w:val="0"/>
          <w:i w:val="0"/>
          <w:sz w:val="20"/>
        </w:rPr>
        <w:t>Разнесите налоговую базу, сумму НДС и итог. Ставку и округление проверяйте по конкретным операциям и договору.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3.7–3.9.</w:t>
      </w:r>
    </w:p>
    <w:p>
      <w:pPr>
        <w:pStyle w:val="Heading2"/>
      </w:pPr>
      <w:r>
        <w:t>7. Стоимость работ принимается за долг</w:t>
      </w:r>
    </w:p>
    <w:p>
      <w:pPr>
        <w:spacing w:after="100"/>
      </w:pPr>
      <w:r>
        <w:rPr>
          <w:b w:val="0"/>
          <w:i w:val="0"/>
          <w:sz w:val="20"/>
        </w:rPr>
        <w:t>Покажите стоимость отдельно, затем аванс, удержания и оплаты. Остаток к оплате не подменяет стоимость КС-3.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 3.10.</w:t>
      </w:r>
    </w:p>
    <w:p>
      <w:pPr>
        <w:pStyle w:val="Heading2"/>
      </w:pPr>
      <w:r>
        <w:t>8. КС-11 или КС-4 ошибочно названы приложениями</w:t>
      </w:r>
    </w:p>
    <w:p>
      <w:pPr>
        <w:spacing w:after="100"/>
      </w:pPr>
      <w:r>
        <w:rPr>
          <w:b w:val="0"/>
          <w:i w:val="0"/>
          <w:sz w:val="20"/>
        </w:rPr>
        <w:t>Укажите фактическое наименование документа: АОСР, ведомость ресурсов, журнал КС-6а при применении. КС-11 — акт приёмки законченного строительством объекта.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2.7–2.8.</w:t>
      </w:r>
    </w:p>
    <w:p>
      <w:pPr>
        <w:pStyle w:val="Heading2"/>
      </w:pPr>
      <w:r>
        <w:t>9. Фиксированный набор должностей вместо полномочий</w:t>
      </w:r>
    </w:p>
    <w:p>
      <w:pPr>
        <w:spacing w:after="100"/>
      </w:pPr>
      <w:r>
        <w:rPr>
          <w:b w:val="0"/>
          <w:i w:val="0"/>
          <w:sz w:val="20"/>
        </w:rPr>
        <w:t>Проверьте право подписи представителей сторон. Отсутствие внутренней визы бухгалтера само по себе не равно отсутствию подписи в КС-2.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 2.9.</w:t>
      </w:r>
    </w:p>
    <w:p>
      <w:pPr>
        <w:pStyle w:val="Heading2"/>
      </w:pPr>
      <w:r>
        <w:t>10. АОСР потребовали на любые работы</w:t>
      </w:r>
    </w:p>
    <w:p>
      <w:pPr>
        <w:spacing w:after="100"/>
      </w:pPr>
      <w:r>
        <w:rPr>
          <w:b w:val="0"/>
          <w:i w:val="0"/>
          <w:sz w:val="20"/>
        </w:rPr>
        <w:t>Сопоставьте скрытые работы с проектом и перечнем освидетельствований. Выберите применимую форму №03; состав участников определите по фактическим условиям.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4.3–4.5; №03.</w:t>
      </w:r>
    </w:p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1">
        <w:r>
          <w:rPr>
            <w:sz w:val="16"/>
            <w:color w:val="292C30"/>
          </w:rPr>
          <w:t>КС-2: указания к форме, постановление Госкомстата № 100 от 11.11.1999</w:t>
        </w:r>
      </w:hyperlink>
    </w:p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2">
        <w:r>
          <w:rPr>
            <w:sz w:val="16"/>
            <w:color w:val="292C30"/>
          </w:rPr>
          <w:t>Приказ Минстроя № 344/пр от 16.05.2023, ред. 23.06.2025; приложения № 1 и № 2</w:t>
        </w:r>
      </w:hyperlink>
    </w:p>
    <w:p>
      <w:r>
        <w:br w:type="page"/>
      </w:r>
    </w:p>
    <w:p>
      <w:pPr>
        <w:pStyle w:val="Heading1"/>
      </w:pPr>
      <w:r>
        <w:t>Ошибки перед сдачей КС</w:t>
      </w:r>
    </w:p>
    <w:p>
      <w:pPr>
        <w:pStyle w:val="Heading2"/>
      </w:pPr>
      <w:r>
        <w:t>11. Документ на материал не относится к партии</w:t>
      </w:r>
    </w:p>
    <w:p>
      <w:pPr>
        <w:spacing w:after="100"/>
      </w:pPr>
      <w:r>
        <w:rPr>
          <w:b w:val="0"/>
          <w:i w:val="0"/>
          <w:sz w:val="20"/>
        </w:rPr>
        <w:t>Сверьте материал, марку, партию, изготовителя и подтверждающие документы. Проверяйте действительность по применимым правилам; не заменяйте анализ требованием «продлить сертификат».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 4.7; №02.</w:t>
      </w:r>
    </w:p>
    <w:p>
      <w:pPr>
        <w:pStyle w:val="Heading2"/>
      </w:pPr>
      <w:r>
        <w:t>12. Пустая или недействительная дата признана готовностью</w:t>
      </w:r>
    </w:p>
    <w:p>
      <w:pPr>
        <w:spacing w:after="100"/>
      </w:pPr>
      <w:r>
        <w:rPr>
          <w:b w:val="0"/>
          <w:i w:val="0"/>
          <w:sz w:val="20"/>
        </w:rPr>
        <w:t>В №02 введите дату как дату Excel, а не текст. Заполните номер и листы. Статус «ОК» без реквизитов не допускает строку к передаче.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№02, лист «Реестр».</w:t>
      </w:r>
    </w:p>
    <w:p>
      <w:pPr>
        <w:pStyle w:val="Heading2"/>
      </w:pPr>
      <w:r>
        <w:t>13. Замечание устранено без повторной проверки</w:t>
      </w:r>
    </w:p>
    <w:p>
      <w:pPr>
        <w:spacing w:after="100"/>
      </w:pPr>
      <w:r>
        <w:rPr>
          <w:b w:val="0"/>
          <w:i w:val="0"/>
          <w:sz w:val="20"/>
        </w:rPr>
        <w:t>В №04 запишите что исправлено, дату и проверяющего. До закрытия замечаний не выдавайте положительное решение о комплекте.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№04.</w:t>
      </w:r>
    </w:p>
    <w:p>
      <w:pPr>
        <w:pStyle w:val="Heading2"/>
      </w:pPr>
      <w:r>
        <w:t>14. Передачу отметили без доказательства вручения</w:t>
      </w:r>
    </w:p>
    <w:p>
      <w:pPr>
        <w:spacing w:after="100"/>
      </w:pPr>
      <w:r>
        <w:rPr>
          <w:b w:val="0"/>
          <w:i w:val="0"/>
          <w:sz w:val="20"/>
        </w:rPr>
        <w:t>Укажите получателя и реквизиты подтверждения в №06. Различайте отправку и получение; сохраните подписанную опись, отметку либо электронную квитанцию.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№06 — журнал передачи.</w:t>
      </w:r>
    </w:p>
    <w:p>
      <w:pPr>
        <w:pStyle w:val="Heading2"/>
      </w:pPr>
      <w:r>
        <w:t>15. Ответ просрочен или возврат потерян</w:t>
      </w:r>
    </w:p>
    <w:p>
      <w:pPr>
        <w:spacing w:after="100"/>
      </w:pPr>
      <w:r>
        <w:rPr>
          <w:b w:val="0"/>
          <w:i w:val="0"/>
          <w:sz w:val="20"/>
        </w:rPr>
        <w:t>Внесите договорной срок ответа, дату, решение и повторную передачу. Сверяйте статус на выбранную контрольную дату; у строки без обязательных реквизитов сначала устраните неполноту.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№06; №05.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Практическая памятка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26303/d7e7d105e01770fac8296c4832201fd3f313d0b5/" TargetMode="External"/><Relationship Id="rId12" Type="http://schemas.openxmlformats.org/officeDocument/2006/relationships/hyperlink" Target="https://legalacts.ru/doc/prikaz-minstroja-rossii-ot-16052023-n-344pr-ob-utverzhden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Ошибки перед сдачей КС и порядок исправления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