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СРАВНИТЕЛЬНАЯ ТАБЛИЦА: Бесплатно vs Полный комплект</w:t>
      </w:r>
    </w:p>
    <w:p/>
    <w:p>
      <w:pPr>
        <w:pStyle w:val="Heading1"/>
      </w:pPr>
      <w:r>
        <w:t>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Возможность</w:t>
            </w:r>
          </w:p>
        </w:tc>
        <w:tc>
          <w:tcPr>
            <w:tcW w:type="dxa" w:w="2160"/>
          </w:tcPr>
          <w:p>
            <w:r>
              <w:t>Бесплатно</w:t>
            </w:r>
          </w:p>
        </w:tc>
        <w:tc>
          <w:tcPr>
            <w:tcW w:type="dxa" w:w="2160"/>
          </w:tcPr>
          <w:p>
            <w:r>
              <w:t>Полный комплект</w:t>
            </w:r>
          </w:p>
        </w:tc>
        <w:tc>
          <w:tcPr>
            <w:tcW w:type="dxa" w:w="2160"/>
          </w:tcPr>
          <w:p>
            <w:r>
              <w:t>Почему это важно</w:t>
            </w:r>
          </w:p>
        </w:tc>
      </w:tr>
      <w:tr>
        <w:tc>
          <w:tcPr>
            <w:tcW w:type="dxa" w:w="2160"/>
          </w:tcPr>
          <w:p>
            <w:r>
              <w:t>Алгоритм проверки удержаний</w:t>
            </w:r>
          </w:p>
        </w:tc>
        <w:tc>
          <w:tcPr>
            <w:tcW w:type="dxa" w:w="2160"/>
          </w:tcPr>
          <w:p>
            <w:r>
              <w:t>Краткий (7 шагов)</w:t>
            </w:r>
          </w:p>
        </w:tc>
        <w:tc>
          <w:tcPr>
            <w:tcW w:type="dxa" w:w="2160"/>
          </w:tcPr>
          <w:p>
            <w:r>
              <w:t>Детальный с контрольными точками</w:t>
            </w:r>
          </w:p>
        </w:tc>
        <w:tc>
          <w:tcPr>
            <w:tcW w:type="dxa" w:w="2160"/>
          </w:tcPr>
          <w:p>
            <w:r>
              <w:t>Не пропускаете сроки</w:t>
            </w:r>
          </w:p>
        </w:tc>
      </w:tr>
      <w:tr>
        <w:tc>
          <w:tcPr>
            <w:tcW w:type="dxa" w:w="2160"/>
          </w:tcPr>
          <w:p>
            <w:r>
              <w:t>Претензия на удержание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Юридически выверенная</w:t>
            </w:r>
          </w:p>
        </w:tc>
        <w:tc>
          <w:tcPr>
            <w:tcW w:type="dxa" w:w="2160"/>
          </w:tcPr>
          <w:p>
            <w:r>
              <w:t>Профессиональный документ</w:t>
            </w:r>
          </w:p>
        </w:tc>
      </w:tr>
      <w:tr>
        <w:tc>
          <w:tcPr>
            <w:tcW w:type="dxa" w:w="2160"/>
          </w:tcPr>
          <w:p>
            <w:r>
              <w:t>Претензия на штраф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обоснованием по ст. 333 ГК РФ</w:t>
            </w:r>
          </w:p>
        </w:tc>
        <w:tc>
          <w:tcPr>
            <w:tcW w:type="dxa" w:w="2160"/>
          </w:tcPr>
          <w:p>
            <w:r>
              <w:t>Снижаете штраф в суде</w:t>
            </w:r>
          </w:p>
        </w:tc>
      </w:tr>
      <w:tr>
        <w:tc>
          <w:tcPr>
            <w:tcW w:type="dxa" w:w="2160"/>
          </w:tcPr>
          <w:p>
            <w:r>
              <w:t>Возражение на зачет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ссылками на ст. 410 ГК РФ</w:t>
            </w:r>
          </w:p>
        </w:tc>
        <w:tc>
          <w:tcPr>
            <w:tcW w:type="dxa" w:w="2160"/>
          </w:tcPr>
          <w:p>
            <w:r>
              <w:t>Оспариваете односторонний зачет</w:t>
            </w:r>
          </w:p>
        </w:tc>
      </w:tr>
      <w:tr>
        <w:tc>
          <w:tcPr>
            <w:tcW w:type="dxa" w:w="2160"/>
          </w:tcPr>
          <w:p>
            <w:r>
              <w:t>Калькулятор убытков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автоматическим расчетом</w:t>
            </w:r>
          </w:p>
        </w:tc>
        <w:tc>
          <w:tcPr>
            <w:tcW w:type="dxa" w:w="2160"/>
          </w:tcPr>
          <w:p>
            <w:r>
              <w:t>Точная сумма требований</w:t>
            </w:r>
          </w:p>
        </w:tc>
      </w:tr>
      <w:tr>
        <w:tc>
          <w:tcPr>
            <w:tcW w:type="dxa" w:w="2160"/>
          </w:tcPr>
          <w:p>
            <w:r>
              <w:t>Реестр удержаний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автоподсчетом</w:t>
            </w:r>
          </w:p>
        </w:tc>
        <w:tc>
          <w:tcPr>
            <w:tcW w:type="dxa" w:w="2160"/>
          </w:tcPr>
          <w:p>
            <w:r>
              <w:t>Видите полную картину</w:t>
            </w:r>
          </w:p>
        </w:tc>
      </w:tr>
      <w:tr>
        <w:tc>
          <w:tcPr>
            <w:tcW w:type="dxa" w:w="2160"/>
          </w:tcPr>
          <w:p>
            <w:r>
              <w:t>График возмещения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С отслеживанием платежей</w:t>
            </w:r>
          </w:p>
        </w:tc>
        <w:tc>
          <w:tcPr>
            <w:tcW w:type="dxa" w:w="2160"/>
          </w:tcPr>
          <w:p>
            <w:r>
              <w:t>Контролируете исполнение</w:t>
            </w:r>
          </w:p>
        </w:tc>
      </w:tr>
      <w:tr>
        <w:tc>
          <w:tcPr>
            <w:tcW w:type="dxa" w:w="2160"/>
          </w:tcPr>
          <w:p>
            <w:r>
              <w:t>Типовые основания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4 сценария + доводы + доказательства</w:t>
            </w:r>
          </w:p>
        </w:tc>
        <w:tc>
          <w:tcPr>
            <w:tcW w:type="dxa" w:w="2160"/>
          </w:tcPr>
          <w:p>
            <w:r>
              <w:t>Готовые аргументы</w:t>
            </w:r>
          </w:p>
        </w:tc>
      </w:tr>
      <w:tr>
        <w:tc>
          <w:tcPr>
            <w:tcW w:type="dxa" w:w="2160"/>
          </w:tcPr>
          <w:p>
            <w:r>
              <w:t>Консультация юриста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Форма подготовки к консультации</w:t>
            </w:r>
          </w:p>
        </w:tc>
        <w:tc>
          <w:tcPr>
            <w:tcW w:type="dxa" w:w="2160"/>
          </w:tcPr>
          <w:p>
            <w:r>
              <w:t>Экономите время и деньги</w:t>
            </w:r>
          </w:p>
        </w:tc>
      </w:tr>
    </w:tbl>
    <w:p/>
    <w:p>
      <w:r>
        <w:br/>
        <w:t>Удержания, штрафы и зачеты - самая болезненная тема для подрядчика. Один неправомерный штраф в 500 000 ₽ может 'съесть' всю маржу объекта.</w:t>
      </w:r>
    </w:p>
    <w:p>
      <w:r>
        <w:br/>
        <w:t>Стоимость полного комплекта: 19 900 - 24 900 ₽</w:t>
        <w:br/>
        <w:t>Стоимость одного неоспоренного штрафа: от 100 000 ₽ до нескольких миллионов.</w:t>
        <w:br/>
        <w:t>Окупаемость: с первого же спорного случая.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