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Как заполнять: словарь полей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i/>
          <w:iCs/>
          <w:color w:val="595959"/>
          <w:sz w:val="24"/>
          <w:szCs w:val="24"/>
        </w:rPr>
        <w:t xml:space="preserve">Ключ к двум шаблонам возражений: каждое поле в двойных фигурных скобках — что в него вписать и откуда взять значение.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Важно, прочитайте до использования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Это типовые шаблоны и порядок действий на один день — тот, в который вы получили односторонний акт о недостатках или уведомление о зачёте (удержании). Не юридическая консультация и не гарантия того, что требование снимут. Что комплект делает — помогает не согласиться письменно и в договорный срок, пока молчание или акт сверки без оговорок не превратились в согласие.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Этот файл вычитку юристом не проходил. Два шаблона возражений комплекта её проходили в прежней редакции, а после неё правились по нашей нормативной сверке — исправленных формулировок юрист не читал, и в самих шаблонах об этом сказано. Разница названа здесь намеренно, чтобы её не пришлось выводить из умолчания.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Приоритет всегда у вашего договора: порядок фиксации недостатков, право удерживать неустойку из стоимости работ, срок ответа и способ уведомления определяются им, и перед отправкой каждый пункт сверяется с ним.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Сюда не применять: деньги уже удержаны или списаны — возврат удержанного это другая работа и другие документы; спор передан в суд; в картотеке арбитражных дел есть дело о банкротстве стороны; в полученном документе есть ссылки на проверки государственных органов или признаки уголовного дела. В этих случаях типовой текст создаёт ложную уверенность — к юристу до отправки.</w:t>
            </w:r>
          </w:p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Сроков, ставок и размеров пошлин числом здесь нет намеренно: они меняются, а скачанный файл не обновляется. Каждый срок вы берёте из своего договора, каждое число — из названного источника на дату составления документа.</w:t>
            </w:r>
          </w:p>
        </w:tc>
      </w:tr>
    </w:tbl>
    <w:p>
      <w:pPr>
        <w:spacing w:after="120" w:line="276"/>
      </w:pP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Как пользоваться словарём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Формат поля — двойные фигурные скобки и имя заглавными буквами. Одно и то же поле означает одно и то же в обоих возражениях: наименования сторон и суммы, подставленные в одно, переносятся во второе без изменений.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Поле с двоеточием — поле с подсказкой: после двоеточия стоит перечень типовых вариантов. Поле заменяется целиком, вместе с подсказкой; в отправленном документе остаётся только ваш текст.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Пояснения в квадратных скобках — для вас. Перед отправкой они удаляются вместе со скобками.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Перед отправкой найдите поиском символы «{{». Нашлись — документ не готов. Незаполненное поле показывает получателю, что вы отправили шаблон, не читая, и обесценивает всё остальное в нём.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Пустых полей в отправленном возражении быть не должно и по другой причине: каждое из них — место, где названы документ и пункт. Довод без документа и пункта возражением не является.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Стороны и подписант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400"/>
        <w:gridCol w:w="2960"/>
      </w:tblGrid>
      <w:tr>
        <w:trPr>
          <w:tblHeader/>
        </w:trPr>
        <w:tc>
          <w:tcPr>
            <w:tcW w:type="dxa" w:w="30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Поле</w:t>
            </w:r>
          </w:p>
        </w:tc>
        <w:tc>
          <w:tcPr>
            <w:tcW w:type="dxa" w:w="34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Что вписать</w:t>
            </w:r>
          </w:p>
        </w:tc>
        <w:tc>
          <w:tcPr>
            <w:tcW w:type="dxa" w:w="296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Откуда взять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{{НАИМЕНОВАНИЕ_ПОДРЯДЧИКА}}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Полное наименование вашей организации — стороны, которая возражает</w:t>
            </w:r>
          </w:p>
        </w:tc>
        <w:tc>
          <w:tcPr>
            <w:tcW w:type="dxa" w:w="2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учредительные документы, выписка ЕГРЮЛ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{{НАИМЕНОВАНИЕ_ГЕНПОДРЯДЧИКА}}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Полное наименование стороны, которая составила акт или объявила зачёт. Ваш договор может называть её Заказчиком — тогда замените роль во всём тексте по своему договору: роль важнее слова</w:t>
            </w:r>
          </w:p>
        </w:tc>
        <w:tc>
          <w:tcPr>
            <w:tcW w:type="dxa" w:w="2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договор и актуальная выписка ЕГРЮЛ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{{ДОЛЖНОСТЬ}}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{{ФИО}}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{{ПОДПИСЬ}}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Кто подписывает возражение от вашей организации. Подписант без полномочий превращает возражение в письмо без автора</w:t>
            </w:r>
          </w:p>
        </w:tc>
        <w:tc>
          <w:tcPr>
            <w:tcW w:type="dxa" w:w="2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устав, доверенность</w:t>
            </w:r>
          </w:p>
        </w:tc>
      </w:tr>
    </w:tbl>
    <w:p>
      <w:pPr>
        <w:spacing w:after="120" w:line="276"/>
      </w:pP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Реквизиты полученного документа и суммы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400"/>
        <w:gridCol w:w="2960"/>
      </w:tblGrid>
      <w:tr>
        <w:trPr>
          <w:tblHeader/>
        </w:trPr>
        <w:tc>
          <w:tcPr>
            <w:tcW w:type="dxa" w:w="30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Поле</w:t>
            </w:r>
          </w:p>
        </w:tc>
        <w:tc>
          <w:tcPr>
            <w:tcW w:type="dxa" w:w="34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Что вписать</w:t>
            </w:r>
          </w:p>
        </w:tc>
        <w:tc>
          <w:tcPr>
            <w:tcW w:type="dxa" w:w="296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Откуда взять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{{НОМЕР_АКТА}}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{{ДАТА_АКТА}}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Реквизиты одностороннего акта о недостатках — возражение на акт</w:t>
            </w:r>
          </w:p>
        </w:tc>
        <w:tc>
          <w:tcPr>
            <w:tcW w:type="dxa" w:w="2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сам акт; если номера нет, так и пишется: «без номера»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{{НОМЕР_УВЕДОМЛЕНИЯ}}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{{ДАТА_УВЕДОМЛЕНИЯ}}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Реквизиты уведомления о зачёте или удержании — возражение на зачёт</w:t>
            </w:r>
          </w:p>
        </w:tc>
        <w:tc>
          <w:tcPr>
            <w:tcW w:type="dxa" w:w="2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само уведомление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{{СУММА_УДЕРЖАНИЯ}}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Сумма, которую удерживают или зачитывают, — так, как она названа в уведомлении, даже если вы с ней не согласны</w:t>
            </w:r>
          </w:p>
        </w:tc>
        <w:tc>
          <w:tcPr>
            <w:tcW w:type="dxa" w:w="2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уведомление о зачёте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{{СУММА}}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Спорная сумма, о выплате которой вы заявляете требование. Ею же вы оговариваете акты сверки, поэтому во всех документах она одна</w:t>
            </w:r>
          </w:p>
        </w:tc>
        <w:tc>
          <w:tcPr>
            <w:tcW w:type="dxa" w:w="2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ваш расчёт по уведомлению</w:t>
            </w:r>
          </w:p>
        </w:tc>
      </w:tr>
    </w:tbl>
    <w:p>
      <w:pPr>
        <w:spacing w:after="120" w:line="276"/>
      </w:pPr>
    </w:p>
    <w:p>
      <w:r>
        <w:br w:type="page"/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Договор и документы-основания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400"/>
        <w:gridCol w:w="2960"/>
      </w:tblGrid>
      <w:tr>
        <w:trPr>
          <w:tblHeader/>
        </w:trPr>
        <w:tc>
          <w:tcPr>
            <w:tcW w:type="dxa" w:w="30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Поле</w:t>
            </w:r>
          </w:p>
        </w:tc>
        <w:tc>
          <w:tcPr>
            <w:tcW w:type="dxa" w:w="34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Что вписать</w:t>
            </w:r>
          </w:p>
        </w:tc>
        <w:tc>
          <w:tcPr>
            <w:tcW w:type="dxa" w:w="296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Откуда взять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{{ПУНКТ_ДОГОВОРА_ФИКСАЦИЯ}}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Номер пункта вашего договора о порядке фиксации недостатков — вызов, осмотр, составление акта. Пункта нет — это довод, и он пишется прямо</w:t>
            </w:r>
          </w:p>
        </w:tc>
        <w:tc>
          <w:tcPr>
            <w:tcW w:type="dxa" w:w="2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текст договора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{{КРАТКО_ПОРЯДОК}}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Что этот пункт предписывает, одной фразой: кого и как извещают, в какой срок, кто участвует в осмотре</w:t>
            </w:r>
          </w:p>
        </w:tc>
        <w:tc>
          <w:tcPr>
            <w:tcW w:type="dxa" w:w="2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тот же пункт договора, своими словами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{{ССЫЛКА_НА_ГРАНИЦУ: соглашение о разграничении, акт передачи фронта}}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Документ, которым установлена граница ваших зон: реквизиты и пункт. Ссылка на несуществующий документ хуже отсутствия довода</w:t>
            </w:r>
          </w:p>
        </w:tc>
        <w:tc>
          <w:tcPr>
            <w:tcW w:type="dxa" w:w="2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подписанные соглашение о разграничении, акт передачи фронта работ, акт входного контроля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{{ПРОВЕРЕНО_ПО: журнал входящих, ЭДО, договорный канал уведомлений}}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Чем вы проверили, что извещение об осмотре не приходило: назовите источник, по которому смотрели</w:t>
            </w:r>
          </w:p>
        </w:tc>
        <w:tc>
          <w:tcPr>
            <w:tcW w:type="dxa" w:w="2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журнал входящих, выгрузка из системы электронного документооборота, договорный канал уведомлений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{{ДОКУМЕНТ_РЕКВИЗИТЫ}}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Реквизиты документа, подтверждающего ваш довод: номер, дата, название</w:t>
            </w:r>
          </w:p>
        </w:tc>
        <w:tc>
          <w:tcPr>
            <w:tcW w:type="dxa" w:w="2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ваш архив актов и переписки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{{РЕКВИЗИТЫ}}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Реквизиты переписки, из которой видно, что спор о требовании есть. Ею подтверждается пункт 3 возражения на зачёт — переговорный довод, а не порок зачёта: условий о бесспорности требования статья 410 ГК РФ не содержит</w:t>
            </w:r>
          </w:p>
        </w:tc>
        <w:tc>
          <w:tcPr>
            <w:tcW w:type="dxa" w:w="2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ваш архив переписки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{{СРОК_ПО_ДОГОВОРУ}}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Срок выплаты удержанного — словами вашего договора, а не числом из справочника. Договор о сроке молчит — свой срок не выдумывайте: по пункту 2 статьи 314 ГК РФ обязательство, которое не предусматривает срок исполнения и не содержит условий, позволяющих его определить, исполняется в срок, отсчитываемый от предъявления вами требования об исполнении, — если обязанность исполнения в другой срок не предусмотрена законом, иными правовыми актами, условиями обязательства или не вытекает из обычаев либо существа обязательства. Требование вы и предъявляете этим возражением; величину срока посмотрите в действующей редакции нормы на дату документа</w:t>
            </w:r>
          </w:p>
        </w:tc>
        <w:tc>
          <w:tcPr>
            <w:tcW w:type="dxa" w:w="2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договор; при его молчании — пункт 2 статьи 314 ГК РФ в действующей редакции на дату документа. В файлы комплекта срок числом не записан намеренно</w:t>
            </w:r>
          </w:p>
        </w:tc>
      </w:tr>
    </w:tbl>
    <w:p>
      <w:pPr>
        <w:spacing w:after="120" w:line="276"/>
      </w:pP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Поля, куда вписывается ваш довод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Их отличие от предыдущих в том, что подставить нечего: сюда переносится ваш вывод, а не реквизит из документа.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400"/>
        <w:gridCol w:w="2960"/>
      </w:tblGrid>
      <w:tr>
        <w:trPr>
          <w:tblHeader/>
        </w:trPr>
        <w:tc>
          <w:tcPr>
            <w:tcW w:type="dxa" w:w="30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Поле</w:t>
            </w:r>
          </w:p>
        </w:tc>
        <w:tc>
          <w:tcPr>
            <w:tcW w:type="dxa" w:w="34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Что вписать</w:t>
            </w:r>
          </w:p>
        </w:tc>
        <w:tc>
          <w:tcPr>
            <w:tcW w:type="dxa" w:w="296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Откуда взять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{{ЧЕГО_НЕ_ХВАТАЕТ: точное место и объём каждого недостатка / нарушенное требование проектной документации или норм / способ обнаружения / средства измерений}}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Что именно в акте не позволяет проверить выводы. Оставьте применимое, остальное удалите</w:t>
            </w:r>
          </w:p>
        </w:tc>
        <w:tc>
          <w:tcPr>
            <w:tcW w:type="dxa" w:w="2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сам акт: сверяется по перечню в подсказке поля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{{ГДЕ_РАСХОЖДЕНИЕ: база / ставка / период / задвоение}}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 чём расчёт неустойки разошёлся с договором. Оставьте применимое</w:t>
            </w:r>
          </w:p>
        </w:tc>
        <w:tc>
          <w:tcPr>
            <w:tcW w:type="dxa" w:w="2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ваш контррасчёт против расчёта из уведомления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{{ПРЕДМЕТ_СПОРА}}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 чём именно спор между сторонами: объёмы, качество, сроки, состав работ</w:t>
            </w:r>
          </w:p>
        </w:tc>
        <w:tc>
          <w:tcPr>
            <w:tcW w:type="dxa" w:w="2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ваша переписка и ваш разбор требования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{{В_ЧЁМ_НАРУШЕНИЕ}}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Чем нарушен порядок заявления зачёта: нет условия в договоре, не соблюдён порядок уведомления, требование не наступило</w:t>
            </w:r>
          </w:p>
        </w:tc>
        <w:tc>
          <w:tcPr>
            <w:tcW w:type="dxa" w:w="2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договор и полученное уведомление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{{КРАТКОЕ_ОБОСНОВАНИЕ}}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Почему начисленная неустойка явно несоразмерна последствиям нарушения. Заявляется всегда: заявление ничего не стоит и сохраняет право спорить о размере</w:t>
            </w:r>
          </w:p>
        </w:tc>
        <w:tc>
          <w:tcPr>
            <w:tcW w:type="dxa" w:w="2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ваше сопоставление суммы с последствиями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{{ПРЕДЛАГАЕМАЯ_ДАТА_И_ВРЕМЯ}}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Дата и время комиссионного осмотра, который вы предлагаете. Назначайте реальные: на предложенный вами же осмотр являться обязательно</w:t>
            </w:r>
          </w:p>
        </w:tc>
        <w:tc>
          <w:tcPr>
            <w:tcW w:type="dxa" w:w="2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ваш график</w:t>
            </w:r>
          </w:p>
        </w:tc>
      </w:tr>
    </w:tbl>
    <w:p>
      <w:pPr>
        <w:spacing w:after="120" w:line="276"/>
      </w:pP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Приложения и пометки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400"/>
        <w:gridCol w:w="2960"/>
      </w:tblGrid>
      <w:tr>
        <w:trPr>
          <w:tblHeader/>
        </w:trPr>
        <w:tc>
          <w:tcPr>
            <w:tcW w:type="dxa" w:w="30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Поле</w:t>
            </w:r>
          </w:p>
        </w:tc>
        <w:tc>
          <w:tcPr>
            <w:tcW w:type="dxa" w:w="34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Что вписать</w:t>
            </w:r>
          </w:p>
        </w:tc>
        <w:tc>
          <w:tcPr>
            <w:tcW w:type="dxa" w:w="296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Откуда взять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{{ПЕРЕЧЕНЬ}}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{{ИНОЕ}}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Перечень приложений к возражению: каждое — с номером и датой</w:t>
            </w:r>
          </w:p>
        </w:tc>
        <w:tc>
          <w:tcPr>
            <w:tcW w:type="dxa" w:w="2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ваш архив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{{НОМЕР}}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Номер приложения с контррасчётом в вашем перечне приложений</w:t>
            </w:r>
          </w:p>
        </w:tc>
        <w:tc>
          <w:tcPr>
            <w:tcW w:type="dxa" w:w="2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нумерация приложений этого возражения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{{ЕСЛИ_ПРИМЕНИМО}}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 поле, а пометка: пункт берётся по ситуации. Отберите подходящие пункты, перенумеруйте их, неподходящие удалите целиком — вместе с пометками</w:t>
            </w:r>
          </w:p>
        </w:tc>
        <w:tc>
          <w:tcPr>
            <w:tcW w:type="dxa" w:w="2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ваш разбор полученного документа</w:t>
            </w:r>
          </w:p>
        </w:tc>
      </w:tr>
    </w:tbl>
    <w:p>
      <w:pPr>
        <w:spacing w:after="120" w:line="276"/>
      </w:pP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Чего в этих полях нет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Ни одного срока и ни одной ставки числом. Срок ответа, срок выплаты удержанного и ставка неустойки — поля, которые заполняются словами и числами вашего договора. Число, вписанное в шаблон один раз, устаревает молча, а подписывает документ не тот, кто его вписал.</w:t>
      </w:r>
    </w:p>
    <w:sectPr>
      <w:pgSz w:w="11906" w:h="16838" w:orient="portrait"/>
      <w:pgMar w:top="1133" w:right="850" w:bottom="1133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2026-08-11T03:35:47.778Z</dcterms:created>
  <dcterms:modified xsi:type="dcterms:W3CDTF">2026-08-11T03:35:47.779Z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