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КС подписаны денег нет</w:t>
      </w:r>
    </w:p>
    <w:p>
      <w:pPr>
        <w:widowControl/>
      </w:pPr>
      <w:r>
        <w:t>Первые семь проверок перед обращением за оплатой. Результат: подтверждённая крайняя дата, остаток основного долга, одна применимая санкция и письмо с приложениями.</w:t>
      </w:r>
    </w:p>
    <w:p>
      <w:pPr>
        <w:pStyle w:val="Heading1"/>
      </w:pPr>
      <w:r>
        <w:t>1 Определите обязательство и срок</w:t>
      </w:r>
    </w:p>
    <w:p>
      <w:pPr>
        <w:widowControl/>
      </w:pPr>
      <w:r>
        <w:t>Выпишите договор, оплачиваемый объём, цену и точное событие начала срока: например, получение согласованного комплекта. Даты КС сами по себе его не заменяют. Для строительных работ сначала проверьте ст. 746 и 711 ГК РФ. Если срок нельзя определить, отдельно оцените применимость ст. 314, а не назначайте всем договорам семь дней.</w:t>
      </w:r>
    </w:p>
    <w:p>
      <w:pPr>
        <w:pStyle w:val="Heading1"/>
      </w:pPr>
      <w:r>
        <w:t>2 Проверьте сдачу и полномочия</w:t>
      </w:r>
    </w:p>
    <w:p>
      <w:pPr>
        <w:widowControl/>
      </w:pPr>
      <w:r>
        <w:t>Сопоставьте подписи, полномочия подписантов, содержание актов и доказательства их получения. Поздняя дата подписания не равна ошибке. При отказе от подписи сохраните уведомление о готовности, направленный акт, отметку об отказе и мотивы возражений; оцените ст. 753. Отсутствие двусторонней подписи не означает автоматического отсутствия требования.</w:t>
      </w:r>
    </w:p>
    <w:p>
      <w:pPr>
        <w:pStyle w:val="Heading1"/>
      </w:pPr>
      <w:r>
        <w:t>3 Подтвердите дату оплаты</w:t>
      </w:r>
    </w:p>
    <w:p>
      <w:pPr>
        <w:widowControl/>
      </w:pPr>
      <w:r>
        <w:t>Течение периода обычно начинается на следующий день после события. Проверьте тип дней и нерабочий последний день по ст. 191 и 193. Для обычной пятидневки 2026 используйте календарь XLSX и подтвердите его применимость; для другого графика или года внесите проверенную крайнюю дату вручную.</w:t>
      </w:r>
    </w:p>
    <w:p>
      <w:pPr>
        <w:pStyle w:val="Heading1"/>
      </w:pPr>
      <w:r>
        <w:t>4 Сверьте основной долг</w:t>
      </w:r>
    </w:p>
    <w:p>
      <w:pPr>
        <w:widowControl/>
      </w:pPr>
      <w:r>
        <w:t>Укажите сумму именно этого обязательства до оплат и вычтите относящиеся к нему погашения один раз. КС-2 и накопительная КС-3 могут отражать один объём — их нельзя просто сложить. Аванс, гарантийное удержание, спорное списание и погашение санкций сначала разнесите по основанию; не вычитайте любую банковскую операцию из основного долга.</w:t>
      </w:r>
    </w:p>
    <w:p>
      <w:pPr>
        <w:pStyle w:val="Heading1"/>
      </w:pPr>
      <w:r>
        <w:t>5 Выберите одну санкцию</w:t>
      </w:r>
    </w:p>
    <w:p>
      <w:pPr>
        <w:widowControl/>
      </w:pPr>
      <w:r>
        <w:t>Определите, предусмотрена ли неустойка за это нарушение законом или договором. В XLSX доступны 395, пеня либо расчёт без санкций. Одновременное начисление отключено. Исключение по закону/договору требует отдельного обоснования и расчёта. Проценты и пеня не увеличивают базу основного долга.</w:t>
      </w:r>
    </w:p>
    <w:p>
      <w:pPr>
        <w:pStyle w:val="Heading1"/>
      </w:pPr>
      <w:r>
        <w:t>6 Подготовьте доказательства и письмо</w:t>
      </w:r>
    </w:p>
    <w:p>
      <w:pPr>
        <w:widowControl/>
      </w:pPr>
      <w:r>
        <w:t>Используйте перечень 03 и форму 04. Приложите сверку оплат и расчёт с фиксированной датой. Сохраните содержание отправления, квитанцию и доказательство доставки/получения по договорному каналу. Опись сама по себе не подтверждает получение, а платёжное поручение без исполнения — поступление денег.</w:t>
      </w:r>
    </w:p>
    <w:p>
      <w:pPr>
        <w:pStyle w:val="Heading1"/>
      </w:pPr>
      <w:r>
        <w:t>7 Определите следующий срок</w:t>
      </w:r>
    </w:p>
    <w:p>
      <w:pPr>
        <w:widowControl/>
      </w:pPr>
      <w:r>
        <w:t>Если вопрос не решён, проверьте досудебный порядок: для соответствующего договорного денежного спора в арбитраже общее правило ч. 5 ст. 4 АПК — 30 календарных дней после направления требования; закон или договор могут устанавливать другое. Название письма не решает, является ли оно претензией. Отдельно контролируйте исковую давность: общий срок три года, его начало и изменения определяются по обстоятельствам обязательства.</w:t>
      </w:r>
    </w:p>
    <w:p>
      <w:pPr>
        <w:pStyle w:val="Heading1"/>
        <w:pageBreakBefore/>
      </w:pPr>
      <w:r>
        <w:t>Как заполнить расчёт</w:t>
      </w:r>
    </w:p>
    <w:p>
      <w:pPr>
        <w:widowControl/>
      </w:pPr>
      <w:r>
        <w:t>Главный лист XLSX: строка 6 — событие, 7 — крайний день оплаты, 9 — фиксированная дата окончания расчёта, 11 — сумма обязательства до оплат. Строки 13–17 задают правовую ветку и подтверждения. Строки 20, 12 и 25 показывают соответственно остаток долга, выбранную санкцию и их сумму.</w:t>
      </w:r>
    </w:p>
    <w:p>
      <w:pPr>
        <w:widowControl/>
      </w:pPr>
      <w:r>
        <w:t>Лист «Платежи»: дата фактического исполнения, сумма, отнесённая на основной долг, и подтверждающий документ. Будущая относительно даты расчёта оплата видна отдельно и не уменьшает текущий остаток. Проверьте, что одну операцию не внесли дважды.</w:t>
      </w:r>
    </w:p>
    <w:p>
      <w:pPr>
        <w:widowControl/>
      </w:pPr>
      <w:r>
        <w:t>Лист «Периоды»: первая дата рассчитывается автоматически. Новая строка начинается в день изменения ставки или на следующий день после частичной оплаты. Конец предыдущей строки определяется автоматически. D/E пусто — применяется ставка главного листа; введённый ноль сохраняется. Неразделённая частичная оплата блокирует итог вместо неверного начисления на одну базу.</w:t>
      </w:r>
    </w:p>
    <w:p>
      <w:pPr>
        <w:widowControl/>
      </w:pPr>
      <w:r>
        <w:t>Годовая ставка 395 вводится как процент за год, дневная пеня — как процент за день. Проверьте даты действия ставок по истории Банка России; учебные числа ниже не являются историческими ставками. В расчёте 395 каждый календарный год имеет 365 или 366 дней. Суммируются неокруглённые начисления, затем итог округляется до копеек.</w:t>
      </w:r>
    </w:p>
    <w:p>
      <w:pPr>
        <w:pStyle w:val="Heading1"/>
      </w:pPr>
      <w:r>
        <w:t>Учебный пример с частичной оплатой</w:t>
      </w:r>
    </w:p>
    <w:p>
      <w:pPr>
        <w:widowControl/>
      </w:pPr>
      <w:r>
        <w:t>Основной долг 100 000 ₽; крайний день оплаты 16.10.2026; расчёт по 21.10.2026 включительно. Договорная пеня 0,1% в день на неоплаченный долг. Оплата 40 000 ₽ исполнена 19.10. Периоды: 17–19.10 — 100 000 ₽ × 0,1% × 3 = 300 ₽; 20–21.10 — 60 000 ₽ × 0,1% × 2 = 120 ₽. Остаток 60 000 ₽, пеня 420 ₽, вместе 60 420 ₽. Возвраты/оплаты повторно не вычитаются.</w:t>
      </w:r>
    </w:p>
    <w:p>
      <w:pPr>
        <w:pStyle w:val="Heading1"/>
      </w:pPr>
      <w:r>
        <w:t>Если исходные данные не подходят</w:t>
      </w:r>
    </w:p>
    <w:p>
      <w:pPr>
        <w:widowControl/>
      </w:pPr>
      <w:r>
        <w:t>Срок ещё не наступил — не заявляйте просрочку. Нет подтверждённой даты/ставки/базы — сначала запросите документ и устраните пробел. Иной день начала начисления, лимит или особая формула пени, мораторий, валютный долг, капитализация, более 20 оплат или 20 периодов требуют отдельной модели; не обходите сообщения заменой на ноль. Для полностью оплаченного долга сохраните расчёт санкции по день оплаты, если она применима.</w:t>
      </w:r>
    </w:p>
    <w:p>
      <w:pPr>
        <w:pStyle w:val="Heading1"/>
        <w:pageBreakBefore/>
      </w:pPr>
      <w:r>
        <w:t>Основания и контроль перед отправкой</w:t>
      </w:r>
    </w:p>
    <w:p>
      <w:pPr>
        <w:widowControl/>
      </w:pPr>
      <w:r>
        <w:t>Нормы ниже применяются по указанной ситуации. Проверка применимости и подтверждений предшествует расчёту; организационный порядок этого комплекта не создаёт новых договорных обязанностей.</w:t>
      </w:r>
    </w:p>
    <w:p>
      <w:hyperlink r:id="rId11">
        <w:r>
          <w:rPr>
            <w:color w:val="72552B"/>
            <w:sz w:val="19"/>
          </w:rPr>
          <w:t>ГК РФ ст. 746 — оплата строительных работ</w:t>
        </w:r>
      </w:hyperlink>
    </w:p>
    <w:p>
      <w:hyperlink r:id="rId12">
        <w:r>
          <w:rPr>
            <w:color w:val="72552B"/>
            <w:sz w:val="19"/>
          </w:rPr>
          <w:t>ГК РФ ст. 711 — оплата результата работы</w:t>
        </w:r>
      </w:hyperlink>
    </w:p>
    <w:p>
      <w:hyperlink r:id="rId13">
        <w:r>
          <w:rPr>
            <w:color w:val="72552B"/>
            <w:sz w:val="19"/>
          </w:rPr>
          <w:t>ГК РФ ст. 314 — определение срока исполнения</w:t>
        </w:r>
      </w:hyperlink>
    </w:p>
    <w:p>
      <w:hyperlink r:id="rId14">
        <w:r>
          <w:rPr>
            <w:color w:val="72552B"/>
            <w:sz w:val="19"/>
          </w:rPr>
          <w:t>ГК РФ ст. 753 — сдача и односторонний акт</w:t>
        </w:r>
      </w:hyperlink>
    </w:p>
    <w:p>
      <w:hyperlink r:id="rId15">
        <w:r>
          <w:rPr>
            <w:color w:val="72552B"/>
            <w:sz w:val="19"/>
          </w:rPr>
          <w:t>ГК РФ ст. 191 — начало срока</w:t>
        </w:r>
      </w:hyperlink>
    </w:p>
    <w:p>
      <w:hyperlink r:id="rId16">
        <w:r>
          <w:rPr>
            <w:color w:val="72552B"/>
            <w:sz w:val="19"/>
          </w:rPr>
          <w:t>ГК РФ ст. 193 — нерабочий последний день</w:t>
        </w:r>
      </w:hyperlink>
    </w:p>
    <w:p>
      <w:hyperlink r:id="rId17">
        <w:r>
          <w:rPr>
            <w:color w:val="72552B"/>
            <w:sz w:val="19"/>
          </w:rPr>
          <w:t>ГК РФ ст. 395 — проценты и договорная неустойка</w:t>
        </w:r>
      </w:hyperlink>
    </w:p>
    <w:p>
      <w:hyperlink r:id="rId18">
        <w:r>
          <w:rPr>
            <w:color w:val="72552B"/>
            <w:sz w:val="19"/>
          </w:rPr>
          <w:t>Пленум ВС РФ № 7, п. 48–50 — день оплаты и санкции</w:t>
        </w:r>
      </w:hyperlink>
    </w:p>
    <w:p>
      <w:hyperlink r:id="rId19">
        <w:r>
          <w:rPr>
            <w:color w:val="72552B"/>
            <w:sz w:val="19"/>
          </w:rPr>
          <w:t>АПК РФ ч. 5 ст. 4 — досудебный порядок</w:t>
        </w:r>
      </w:hyperlink>
    </w:p>
    <w:p>
      <w:hyperlink r:id="rId20">
        <w:r>
          <w:rPr>
            <w:color w:val="72552B"/>
            <w:sz w:val="19"/>
          </w:rPr>
          <w:t>ГК РФ ст. 196 и 200 — исковая давность</w:t>
        </w:r>
      </w:hyperlink>
    </w:p>
    <w:p>
      <w:hyperlink r:id="rId21">
        <w:r>
          <w:rPr>
            <w:color w:val="72552B"/>
            <w:sz w:val="19"/>
          </w:rPr>
          <w:t>ГК РФ ст. 200 — начало исковой давности</w:t>
        </w:r>
      </w:hyperlink>
    </w:p>
    <w:p>
      <w:hyperlink r:id="rId22">
        <w:r>
          <w:rPr>
            <w:color w:val="72552B"/>
            <w:sz w:val="19"/>
          </w:rPr>
          <w:t>ТК РФ ст. 112 — праздничные дни</w:t>
        </w:r>
      </w:hyperlink>
    </w:p>
    <w:p>
      <w:hyperlink r:id="rId23">
        <w:r>
          <w:rPr>
            <w:color w:val="72552B"/>
            <w:sz w:val="19"/>
          </w:rPr>
          <w:t>ПП РФ от 24.09.2025 № 1466 — переносы 2026</w:t>
        </w:r>
      </w:hyperlink>
    </w:p>
    <w:p>
      <w:hyperlink r:id="rId24">
        <w:r>
          <w:rPr>
            <w:color w:val="72552B"/>
            <w:sz w:val="19"/>
          </w:rPr>
          <w:t>Банк России — история ключевой ставки</w:t>
        </w:r>
      </w:hyperlink>
    </w:p>
    <w:p>
      <w:pPr>
        <w:pStyle w:val="Heading1"/>
      </w:pPr>
      <w:r>
        <w:t>Проверка результата</w:t>
      </w:r>
    </w:p>
    <w:p>
      <w:pPr>
        <w:widowControl/>
      </w:pPr>
      <w:r>
        <w:t>В письме совпадают договор, обязательство, крайний срок, дата расчёта, основной долг и только выбранная санкция. Приложенные акты не задвоены, оплаты учтены по назначению, адрес и полномочия проверены. Срок ожидания до суда не подменён дополнительным сроком оплаты в письме.</w:t>
      </w:r>
    </w:p>
    <w:p>
      <w:pPr>
        <w:widowControl/>
      </w:pPr>
      <w:r>
        <w:t>Если обнаружили ошибку, напишите nastoronepodryadchika@yandex.ru. Тема: ДЕНЬГИ — файл, лист и ячейка. Опишите входные данные и ожидаемый результат на обезличенном примере.</w:t>
      </w:r>
    </w:p>
    <w:p>
      <w:pPr>
        <w:widowControl/>
      </w:pPr>
      <w:r>
        <w:t>Полный комплект: «Система получения оплаты за выполненные работы», 29 900 ₽. https://nastoronepodryadchika.ru/products/p1-oplata-po-ks2.html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nastoronepodryadchika.ru  |  nastoronepodryadchika@yandex.ru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НА СТОРОНЕ ПОДРЯДЧИКА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5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252A3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9027/213b00ab7366c34225e24be2f360912884de054e/" TargetMode="External"/><Relationship Id="rId12" Type="http://schemas.openxmlformats.org/officeDocument/2006/relationships/hyperlink" Target="https://www.consultant.ru/document/cons_doc_LAW_9027/46561f5271883fcf47f3e9859d3a59eb56bfcd96/" TargetMode="External"/><Relationship Id="rId13" Type="http://schemas.openxmlformats.org/officeDocument/2006/relationships/hyperlink" Target="https://www.consultant.ru/document/cons_doc_LAW_5142/3a7d3c1ca588deb50bc9bc8bde5576afc732f9a2/" TargetMode="External"/><Relationship Id="rId14" Type="http://schemas.openxmlformats.org/officeDocument/2006/relationships/hyperlink" Target="https://www.consultant.ru/document/cons_doc_LAW_9027/6b2d751a0d605616a9a1012cb7c7fbac1b6d84b3/" TargetMode="External"/><Relationship Id="rId15" Type="http://schemas.openxmlformats.org/officeDocument/2006/relationships/hyperlink" Target="https://www.consultant.ru/document/cons_doc_LAW_5142/60f6af8755cda8e568604f21cd44e823c3407d8f/" TargetMode="External"/><Relationship Id="rId16" Type="http://schemas.openxmlformats.org/officeDocument/2006/relationships/hyperlink" Target="https://www.consultant.ru/document/cons_doc_LAW_5142/8aaa310a192d916fce0327f6226a59ffe5b49b9b/" TargetMode="External"/><Relationship Id="rId17" Type="http://schemas.openxmlformats.org/officeDocument/2006/relationships/hyperlink" Target="https://www.consultant.ru/document/cons_doc_LAW_5142/93383099dc4f06165d8d4aac4eeb159db4f6da3d/" TargetMode="External"/><Relationship Id="rId18" Type="http://schemas.openxmlformats.org/officeDocument/2006/relationships/hyperlink" Target="https://www.consultant.ru/document/cons_doc_LAW_195783/29d7e0afc76f7474e190fee812d2ce51d65d1a40/" TargetMode="External"/><Relationship Id="rId19" Type="http://schemas.openxmlformats.org/officeDocument/2006/relationships/hyperlink" Target="https://www.consultant.ru/document/cons_doc_LAW_37800/4d77fceae32b76a1cc26db3a1c64857d59045fdc/" TargetMode="External"/><Relationship Id="rId20" Type="http://schemas.openxmlformats.org/officeDocument/2006/relationships/hyperlink" Target="https://www.consultant.ru/document/cons_doc_LAW_5142/2dd3d0a52b1ab6e77f6f0bfeb85d98c14fd738da/" TargetMode="External"/><Relationship Id="rId21" Type="http://schemas.openxmlformats.org/officeDocument/2006/relationships/hyperlink" Target="https://www.consultant.ru/document/cons_doc_LAW_5142/afdd3ceb216c7598c9cf49ac07f75fdf4f489d6a/" TargetMode="External"/><Relationship Id="rId22" Type="http://schemas.openxmlformats.org/officeDocument/2006/relationships/hyperlink" Target="https://www.consultant.ru/document/cons_doc_LAW_34683/98ef2900507766e70ff29c0b9d8e2353ea80a1cf/" TargetMode="External"/><Relationship Id="rId23" Type="http://schemas.openxmlformats.org/officeDocument/2006/relationships/hyperlink" Target="https://www.consultant.ru/document/cons_doc_LAW_515170/" TargetMode="External"/><Relationship Id="rId24" Type="http://schemas.openxmlformats.org/officeDocument/2006/relationships/hyperlink" Target="https://www.cbr.ru/hd_base/keyr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