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Документы для проверки оплаты</w:t>
      </w:r>
    </w:p>
    <w:p>
      <w:pPr>
        <w:widowControl/>
      </w:pPr>
      <w:r>
        <w:t>Соберите документы по одному обязательству. Отмечайте «есть», «запросить» или «не требуется» с основанием. Список помогает подтвердить факты; каждый пункт не является универсально обязательным приложением.</w:t>
      </w:r>
    </w:p>
    <w:p>
      <w:pPr>
        <w:pStyle w:val="Heading1"/>
      </w:pPr>
      <w:r>
        <w:t>Условия и полномочия</w:t>
      </w:r>
    </w:p>
    <w:p>
      <w:pPr>
        <w:widowControl/>
      </w:pPr>
      <w:r>
        <w:t>Договор, относящиеся к спорной оплате приложения и дополнительные соглашения; пункт о сроке и событии начала оплаты; пункт о санкции и её базе; полномочия подписантов. Если условие отсутствует — зафиксируйте это и проверьте соответствующий закон, а не оставляйте вымышленный пункт.</w:t>
      </w:r>
    </w:p>
    <w:p>
      <w:pPr>
        <w:pStyle w:val="Heading1"/>
      </w:pPr>
      <w:r>
        <w:t>Сдача и получение</w:t>
      </w:r>
    </w:p>
    <w:p>
      <w:pPr>
        <w:widowControl/>
      </w:pPr>
      <w:r>
        <w:t>КС-2 либо согласованная форма акта; КС-3, если предусмотрена; сопроводительное письмо, опись/реестр с версией и перечнем файлов; уведомление о готовности и подтверждение получения. При отказе — направленный акт, отметка об отказе, возражения и подтверждения фактического результата.</w:t>
      </w:r>
    </w:p>
    <w:p>
      <w:pPr>
        <w:pStyle w:val="Heading1"/>
      </w:pPr>
      <w:r>
        <w:t>Цена и основной долг</w:t>
      </w:r>
    </w:p>
    <w:p>
      <w:pPr>
        <w:widowControl/>
      </w:pPr>
      <w:r>
        <w:t>Расшифровка оплачиваемого объёма, согласованная цена, сверка оплат, зачёт аванса и назначение погашения. Отдельно покажите договорное удержание и спорные списания. Не складывайте дублирующие объёмы КС-2 и накопительной КС-3. Акт сверки дополняет доказательства, но не заменяет первичные документы.</w:t>
      </w:r>
    </w:p>
    <w:p>
      <w:pPr>
        <w:pStyle w:val="Heading1"/>
      </w:pPr>
      <w:r>
        <w:t>Фактическая оплата</w:t>
      </w:r>
    </w:p>
    <w:p>
      <w:pPr>
        <w:widowControl/>
      </w:pPr>
      <w:r>
        <w:t>Исполненные платёжные документы и банковские подтверждения даты исполнения/поступления; назначение каждой операции; отнесение на основной долг. Неподтверждённое платёжное поручение не считайте погашением. Будущие относительно даты расчёта оплаты выделите отдельно.</w:t>
      </w:r>
    </w:p>
    <w:p>
      <w:pPr>
        <w:pStyle w:val="Heading1"/>
      </w:pPr>
      <w:r>
        <w:t>Расчёт и выбранная санкция</w:t>
      </w:r>
    </w:p>
    <w:p>
      <w:pPr>
        <w:widowControl/>
      </w:pPr>
      <w:r>
        <w:t>Крайняя дата и её основание, проверенный календарь, первый день просрочки, фиксированная дата окончания. Приложите периоды изменения базы и ставки, источник ставок 395 либо пункт о дневной пене. Не включайте обе санкции автоматически и не начисляйте проценты на начисленные санкции.</w:t>
      </w:r>
    </w:p>
    <w:p>
      <w:pPr>
        <w:pStyle w:val="Heading1"/>
      </w:pPr>
      <w:r>
        <w:t>Дополнительные подтверждения</w:t>
      </w:r>
    </w:p>
    <w:p>
      <w:pPr>
        <w:widowControl/>
      </w:pPr>
      <w:r>
        <w:t>Исполнительная документация, журналы, АОСР, документы на материалы, фото/видео, переписка и протоколы — по применимости к работам и спору. Ресурсную расшифровку называйте по её реальному документу: универсальной «ведомости ресурсов КС-4» здесь не требуется.</w:t>
      </w:r>
    </w:p>
    <w:p>
      <w:pPr>
        <w:pStyle w:val="Heading1"/>
      </w:pPr>
      <w:r>
        <w:t>Отправление и дальнейший контроль</w:t>
      </w:r>
    </w:p>
    <w:p>
      <w:pPr>
        <w:widowControl/>
      </w:pPr>
      <w:r>
        <w:t>Точная копия письма и приложений, действительный адрес/согласованный канал, полномочия получателя, доказательства направления и доставки. Сохраните исходные электронные файлы и метаданные. Отдельно запишите срок ответа и применимый срок до обращения в суд.</w:t>
      </w:r>
    </w:p>
    <w:p>
      <w:pPr>
        <w:pStyle w:val="Heading1"/>
        <w:pageBreakBefore/>
      </w:pPr>
      <w:r>
        <w:t>Карточка одного обязательства</w:t>
      </w:r>
    </w:p>
    <w:p>
      <w:pPr>
        <w:widowControl/>
      </w:pPr>
      <w:r>
        <w:t>Договор и сторона, обязанная оплатить: __________________________</w:t>
      </w:r>
    </w:p>
    <w:p>
      <w:pPr>
        <w:widowControl/>
      </w:pPr>
      <w:r>
        <w:t>Оплачиваемый объём и подтверждающие документы: __________________</w:t>
      </w:r>
    </w:p>
    <w:p>
      <w:pPr>
        <w:widowControl/>
      </w:pPr>
      <w:r>
        <w:t>Событие начала срока / дата / подтверждение получения: _______________</w:t>
      </w:r>
    </w:p>
    <w:p>
      <w:pPr>
        <w:widowControl/>
      </w:pPr>
      <w:r>
        <w:t>Крайний день оплаты и основание переноса: _________________________</w:t>
      </w:r>
    </w:p>
    <w:p>
      <w:pPr>
        <w:widowControl/>
      </w:pPr>
      <w:r>
        <w:t>Сумма до оплат / оплаты по дату / остаток: __________________________</w:t>
      </w:r>
    </w:p>
    <w:p>
      <w:pPr>
        <w:widowControl/>
      </w:pPr>
      <w:r>
        <w:t>Режим санкции / пункт или статья / ставка и периоды: _________________</w:t>
      </w:r>
    </w:p>
    <w:p>
      <w:pPr>
        <w:widowControl/>
      </w:pPr>
      <w:r>
        <w:t>Дата окончания расчёта / сумма выбранной санкции: __________________</w:t>
      </w:r>
    </w:p>
    <w:p>
      <w:pPr>
        <w:widowControl/>
      </w:pPr>
      <w:r>
        <w:t>Дата и способ отправления / подтверждение доставки: ________________</w:t>
      </w:r>
    </w:p>
    <w:p>
      <w:pPr>
        <w:widowControl/>
      </w:pPr>
      <w:r>
        <w:t>Следующее действие / ответственный / дата контроля: _________________</w:t>
      </w:r>
    </w:p>
    <w:p>
      <w:pPr>
        <w:pStyle w:val="Heading1"/>
      </w:pPr>
      <w:r>
        <w:t>Если документа не хватает</w:t>
      </w:r>
    </w:p>
    <w:p>
      <w:pPr>
        <w:widowControl/>
      </w:pPr>
      <w:r>
        <w:t>Укажите, какой факт он должен подтверждать, у кого его запросить и к какой дате. Отсутствие квитанции означает риск доказывания, а не автоматический вывод о юридическом отсутствии передачи. Сопоставьте иные доказательства, канал и условия договора.</w:t>
      </w:r>
    </w:p>
    <w:p>
      <w:hyperlink r:id="rId11">
        <w:r>
          <w:rPr>
            <w:color w:val="72552B"/>
            <w:sz w:val="19"/>
          </w:rPr>
          <w:t>ГК РФ ст. 753 — сдача и односторонний акт</w:t>
        </w:r>
      </w:hyperlink>
    </w:p>
    <w:p>
      <w:hyperlink r:id="rId12">
        <w:r>
          <w:rPr>
            <w:color w:val="72552B"/>
            <w:sz w:val="19"/>
          </w:rPr>
          <w:t>ГК РФ ст. 746 — оплата строительных работ</w:t>
        </w:r>
      </w:hyperlink>
    </w:p>
    <w:p>
      <w:hyperlink r:id="rId13">
        <w:r>
          <w:rPr>
            <w:color w:val="72552B"/>
            <w:sz w:val="19"/>
          </w:rPr>
          <w:t>ГК РФ ст. 395 — проценты и договорная неустойка</w:t>
        </w:r>
      </w:hyperlink>
    </w:p>
    <w:p>
      <w:hyperlink r:id="rId14">
        <w:r>
          <w:rPr>
            <w:color w:val="72552B"/>
            <w:sz w:val="19"/>
          </w:rPr>
          <w:t>АПК РФ ч. 5 ст. 4 — досудебный порядок</w:t>
        </w:r>
      </w:hyperlink>
    </w:p>
    <w:p>
      <w:pPr>
        <w:widowControl/>
      </w:pPr>
      <w:r>
        <w:t>Если обнаружили ошибку, напишите nastoronepodryadchika@yandex.ru. Тема: ДЕНЬГИ — файл, лист и ячейка. Опишите входные данные и ожидаемый результат на обезличенном примере.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nastoronepodryadchika.ru  |  nastoronepodryadchika@yandex.ru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НА СТОРОНЕ ПОДРЯДЧИКА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5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252A3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9027/6b2d751a0d605616a9a1012cb7c7fbac1b6d84b3/" TargetMode="External"/><Relationship Id="rId12" Type="http://schemas.openxmlformats.org/officeDocument/2006/relationships/hyperlink" Target="https://www.consultant.ru/document/cons_doc_LAW_9027/213b00ab7366c34225e24be2f360912884de054e/" TargetMode="External"/><Relationship Id="rId13" Type="http://schemas.openxmlformats.org/officeDocument/2006/relationships/hyperlink" Target="https://www.consultant.ru/document/cons_doc_LAW_5142/93383099dc4f06165d8d4aac4eeb159db4f6da3d/" TargetMode="External"/><Relationship Id="rId14" Type="http://schemas.openxmlformats.org/officeDocument/2006/relationships/hyperlink" Target="https://www.consultant.ru/document/cons_doc_LAW_37800/4d77fceae32b76a1cc26db3a1c64857d59045fd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