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  <w:r>
        <w:t>[На бланке организации]</w:t>
      </w:r>
    </w:p>
    <w:p>
      <w:pPr>
        <w:widowControl/>
      </w:pPr>
      <w:r>
        <w:t>Исх. № [номер] от [дата]</w:t>
      </w:r>
    </w:p>
    <w:p>
      <w:pPr>
        <w:widowControl/>
      </w:pPr>
      <w:r>
        <w:t>Кому: [наименование заказчика, адрес, уполномоченный получатель]</w:t>
      </w:r>
    </w:p>
    <w:p>
      <w:pPr>
        <w:widowControl/>
      </w:pPr>
      <w:r>
        <w:t>От: [наименование подрядчика, реквизиты и адрес для ответа]</w:t>
      </w:r>
    </w:p>
    <w:p>
      <w:pPr>
        <w:pStyle w:val="Title"/>
      </w:pPr>
      <w:r>
        <w:t>Об оплате выполненных работ</w:t>
      </w:r>
    </w:p>
    <w:p>
      <w:pPr>
        <w:widowControl/>
      </w:pPr>
      <w:r>
        <w:t>По договору № [номер] от [дата] выполнены работы [объём/этап]. Их сдача подтверждается [акты и иные документы, номера, даты]. Комплект передан [дата, способ и подтверждение получения].</w:t>
      </w:r>
    </w:p>
    <w:p>
      <w:pPr>
        <w:widowControl/>
      </w:pPr>
      <w:r>
        <w:t>Основание срока оплаты: [пункт договора либо применимая норма]. Событие начала срока — [событие и дата]; крайний день оплаты с учётом применимого календаря — [дата].</w:t>
      </w:r>
    </w:p>
    <w:p>
      <w:pPr>
        <w:widowControl/>
      </w:pPr>
      <w:r>
        <w:t>По состоянию на [фиксированная дата расчёта] сумма обязательства до оплат составляет [сумма] руб., погашено в счёт основного долга [сумма] руб. Остаток основного долга — [сумма] руб. Расшифровка оплат прилагается.</w:t>
      </w:r>
    </w:p>
    <w:p>
      <w:pPr>
        <w:widowControl/>
      </w:pPr>
      <w:r>
        <w:t>[Оставьте один подтверждённый вариант: проценты по ст. 395 ГК РФ / договорная пеня по пункту __ / санкции не заявляются.] За период [начало — конец включительно] выбранная санкция составляет [сумма] руб. Основание, база и периоды приведены в расчёте.</w:t>
      </w:r>
    </w:p>
    <w:p>
      <w:pPr>
        <w:widowControl/>
      </w:pPr>
      <w:r>
        <w:t>Просим перечислить основной долг [сумма] руб. и выбранную санкцию [сумма либо «не заявляется»] руб. Общая сумма обращения — [итог] руб. Просим исполнить требование до [дата]. Этот срок не изменяет ранее наступивший срок исполнения обязательства.</w:t>
      </w:r>
    </w:p>
    <w:p>
      <w:pPr>
        <w:widowControl/>
      </w:pPr>
      <w:r>
        <w:t>Реквизиты для перечисления: [банковские реквизиты]. Ответ и подтверждение исполнения направьте по адресу [адрес/согласованный канал], контакт [контакт]. При разногласиях просим указать конкретное основание и приложить подтверждения.</w:t>
      </w:r>
    </w:p>
    <w:p>
      <w:pPr>
        <w:widowControl/>
      </w:pPr>
      <w:r>
        <w:t>Приложения: 1. Документы о выполнении и сдаче работ — [перечень, листы]. 2. Расшифровка обязательства и оплат — [листы]. 3. Расчёт выбранной санкции либо отметка «не заявляется» — [листы]. 4. Иные относящиеся документы — [перечень].</w:t>
      </w:r>
    </w:p>
    <w:p>
      <w:pPr>
        <w:widowControl/>
      </w:pPr>
      <w:r>
        <w:t>[Должность уполномоченного лица]  [ФИО]  [подпись]</w:t>
      </w:r>
    </w:p>
    <w:p>
      <w:pPr>
        <w:widowControl/>
      </w:pPr>
      <w:r>
        <w:t>М.П. — если применяется</w:t>
      </w:r>
    </w:p>
    <w:p>
      <w:pPr>
        <w:pStyle w:val="Heading1"/>
        <w:pageBreakBefore/>
      </w:pPr>
      <w:r>
        <w:t>Как подготовить и отправить письмо</w:t>
      </w:r>
    </w:p>
    <w:p>
      <w:pPr>
        <w:widowControl/>
      </w:pPr>
      <w:r>
        <w:t>Эта страница — инструкция, её не отправляют адресату вместе с формой. Удалите все подсказки в квадратных скобках и ненужные варианты. При отсутствии двусторонней подписи не оставляйте утверждение о её наличии: укажите реальные документы сдачи и получения, отказ и возражения.</w:t>
      </w:r>
    </w:p>
    <w:p>
      <w:pPr>
        <w:widowControl/>
      </w:pPr>
      <w:r>
        <w:t>Если срок ещё не наступил, используйте запрос сверки и предполагаемой даты оплаты; не называйте её просроченной. Если применимое событие или долг не подтверждены, сначала устраните пробел по списку 03. При отсутствии договорного срока проверьте ст. 746/711, а при соответствующих условиях — ст. 314; семь дней не являются универсальным сроком оплаты строительных работ.</w:t>
      </w:r>
    </w:p>
    <w:p>
      <w:pPr>
        <w:widowControl/>
      </w:pPr>
      <w:r>
        <w:t>Суммы берите из одного зафиксированного расчёта XLSX: основной долг — строка 20, выбранная санкция — строка 12, вместе — строка 25. В режимах 395 и пеня оставляют одну санкцию; при особом законном основании совместного взыскания нужен отдельный обоснованный расчёт. При «без санкций» не превращайте неизвестную санкцию в признание её отсутствия.</w:t>
      </w:r>
    </w:p>
    <w:p>
      <w:pPr>
        <w:pStyle w:val="Heading1"/>
      </w:pPr>
      <w:r>
        <w:t>Проверочный пример</w:t>
      </w:r>
    </w:p>
    <w:p>
      <w:pPr>
        <w:widowControl/>
      </w:pPr>
      <w:r>
        <w:t>Условные данные из инструкции 01: 100 000 ₽ до оплат, 40 000 ₽ погашено 19.10, расчёт на 21.10.2026, срок 16.10 и пеня 0,1% в день. В форме: основной долг 60 000 ₽, пеня 420 ₽, итого 60 420 ₽. Сумма 40 000 ₽ уже вычтена; повторно её не вычитают.</w:t>
      </w:r>
    </w:p>
    <w:p>
      <w:pPr>
        <w:pStyle w:val="Heading1"/>
      </w:pPr>
      <w:r>
        <w:t>Значение письма и доказательства</w:t>
      </w:r>
    </w:p>
    <w:p>
      <w:pPr>
        <w:widowControl/>
      </w:pPr>
      <w:r>
        <w:t>Содержание и применимые правила определяют значение письма, а не заголовок «уведомление» или «претензия». Для арбитражного договорного денежного требования проверьте ч. 5 ст. 4 АПК и договор: как направить требование и сколько ждать до иска. Указанный вами срок оплаты не заменяет этот процессуальный срок.</w:t>
      </w:r>
    </w:p>
    <w:p>
      <w:pPr>
        <w:widowControl/>
      </w:pPr>
      <w:r>
        <w:t>Направьте по предусмотренному договором каналу и надлежащему адресу. Сохраните точное содержание, приложения, подтверждение отправки и доставки/получения. При оплате сверьте банковское исполнение и назначение. При отсутствии ответа отметьте следующую контрольную дату; молчание само по себе не подтверждает любой расчёт.</w:t>
      </w:r>
    </w:p>
    <w:p>
      <w:hyperlink r:id="rId13">
        <w:r>
          <w:rPr>
            <w:color w:val="72552B"/>
            <w:sz w:val="19"/>
          </w:rPr>
          <w:t>ГК РФ ст. 746 — оплата строительных работ</w:t>
        </w:r>
      </w:hyperlink>
    </w:p>
    <w:p>
      <w:hyperlink r:id="rId14">
        <w:r>
          <w:rPr>
            <w:color w:val="72552B"/>
            <w:sz w:val="19"/>
          </w:rPr>
          <w:t>ГК РФ ст. 711 — оплата результата работы</w:t>
        </w:r>
      </w:hyperlink>
    </w:p>
    <w:p>
      <w:hyperlink r:id="rId15">
        <w:r>
          <w:rPr>
            <w:color w:val="72552B"/>
            <w:sz w:val="19"/>
          </w:rPr>
          <w:t>ГК РФ ст. 314 — определение срока исполнения</w:t>
        </w:r>
      </w:hyperlink>
    </w:p>
    <w:p>
      <w:hyperlink r:id="rId16">
        <w:r>
          <w:rPr>
            <w:color w:val="72552B"/>
            <w:sz w:val="19"/>
          </w:rPr>
          <w:t>ГК РФ ст. 753 — сдача и односторонний акт</w:t>
        </w:r>
      </w:hyperlink>
    </w:p>
    <w:p>
      <w:hyperlink r:id="rId17">
        <w:r>
          <w:rPr>
            <w:color w:val="72552B"/>
            <w:sz w:val="19"/>
          </w:rPr>
          <w:t>ГК РФ ст. 395 — проценты и договорная неустойка</w:t>
        </w:r>
      </w:hyperlink>
    </w:p>
    <w:p>
      <w:hyperlink r:id="rId18">
        <w:r>
          <w:rPr>
            <w:color w:val="72552B"/>
            <w:sz w:val="19"/>
          </w:rPr>
          <w:t>Пленум ВС РФ № 7, п. 48–50 — день оплаты и санкции</w:t>
        </w:r>
      </w:hyperlink>
    </w:p>
    <w:p>
      <w:hyperlink r:id="rId19">
        <w:r>
          <w:rPr>
            <w:color w:val="72552B"/>
            <w:sz w:val="19"/>
          </w:rPr>
          <w:t>АПК РФ ч. 5 ст. 4 — досудебный порядок</w:t>
        </w:r>
      </w:hyperlink>
    </w:p>
    <w:p>
      <w:pPr>
        <w:widowControl/>
      </w:pPr>
      <w:r>
        <w:t>Если обнаружили ошибку, напишите nastoronepodryadchika@yandex.ru. Тема: ДЕНЬГИ — файл, лист и ячейка. Опишите входные данные и ожидаемый результат на обезличенном примере.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964" w:right="1077" w:bottom="964" w:left="107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color w:val="656B72"/>
        <w:sz w:val="16"/>
      </w:rPr>
      <w:t>nastoronepodryadchika.ru  |  nastoronepodryadchika@yandex.ru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color w:val="656B72"/>
        <w:sz w:val="16"/>
      </w:rPr>
      <w:t>НА СТОРОНЕ ПОДРЯДЧИКА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25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52A3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52A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Theme="majorHAnsi" w:eastAsiaTheme="majorEastAsia" w:hAnsiTheme="majorHAnsi" w:cstheme="majorBidi" w:ascii="Arial" w:hAnsi="Arial"/>
      <w:color w:val="252A3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www.consultant.ru/document/cons_doc_LAW_9027/213b00ab7366c34225e24be2f360912884de054e/" TargetMode="External"/><Relationship Id="rId14" Type="http://schemas.openxmlformats.org/officeDocument/2006/relationships/hyperlink" Target="https://www.consultant.ru/document/cons_doc_LAW_9027/46561f5271883fcf47f3e9859d3a59eb56bfcd96/" TargetMode="External"/><Relationship Id="rId15" Type="http://schemas.openxmlformats.org/officeDocument/2006/relationships/hyperlink" Target="https://www.consultant.ru/document/cons_doc_LAW_5142/3a7d3c1ca588deb50bc9bc8bde5576afc732f9a2/" TargetMode="External"/><Relationship Id="rId16" Type="http://schemas.openxmlformats.org/officeDocument/2006/relationships/hyperlink" Target="https://www.consultant.ru/document/cons_doc_LAW_9027/6b2d751a0d605616a9a1012cb7c7fbac1b6d84b3/" TargetMode="External"/><Relationship Id="rId17" Type="http://schemas.openxmlformats.org/officeDocument/2006/relationships/hyperlink" Target="https://www.consultant.ru/document/cons_doc_LAW_5142/93383099dc4f06165d8d4aac4eeb159db4f6da3d/" TargetMode="External"/><Relationship Id="rId18" Type="http://schemas.openxmlformats.org/officeDocument/2006/relationships/hyperlink" Target="https://www.consultant.ru/document/cons_doc_LAW_195783/29d7e0afc76f7474e190fee812d2ce51d65d1a40/" TargetMode="External"/><Relationship Id="rId19" Type="http://schemas.openxmlformats.org/officeDocument/2006/relationships/hyperlink" Target="https://www.consultant.ru/document/cons_doc_LAW_37800/4d77fceae32b76a1cc26db3a1c64857d59045fd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