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Как внедрить пакет «Закрытие работ»</w:t>
      </w:r>
    </w:p>
    <w:p>
      <w:r>
        <w:t>Провести выполненный объём через проверку, приёмку и запуск оплаты.</w:t>
      </w:r>
    </w:p>
    <w:p>
      <w:pPr>
        <w:pStyle w:val="Heading1"/>
      </w:pPr>
      <w:r>
        <w:t>Быстрый запуск за 60 минут</w:t>
      </w:r>
    </w:p>
    <w:p>
      <w:pPr>
        <w:pStyle w:val="ListNumber"/>
      </w:pPr>
      <w:r>
        <w:t>Скопируйте папку и назовите её по объекту и договору.</w:t>
      </w:r>
    </w:p>
    <w:p>
      <w:pPr>
        <w:pStyle w:val="ListNumber"/>
      </w:pPr>
      <w:r>
        <w:t>Назначьте владельца каждого реестра и резервного исполнителя.</w:t>
      </w:r>
    </w:p>
    <w:p>
      <w:pPr>
        <w:pStyle w:val="ListNumber"/>
      </w:pPr>
      <w:r>
        <w:t>Заполните постоянные данные: стороны, договор, объект, каналы уведомлений.</w:t>
      </w:r>
    </w:p>
    <w:p>
      <w:pPr>
        <w:pStyle w:val="ListNumber"/>
      </w:pPr>
      <w:r>
        <w:t>Выберите один текущий объём и проведите его по документам пакета.</w:t>
      </w:r>
    </w:p>
    <w:p>
      <w:pPr>
        <w:pStyle w:val="ListNumber"/>
      </w:pPr>
      <w:r>
        <w:t>Поставьте контрольные даты в календарь и проводите короткую проверку дважды в неделю.</w:t>
      </w:r>
    </w:p>
    <w:p>
      <w:pPr>
        <w:pStyle w:val="Heading1"/>
      </w:pPr>
      <w:r>
        <w:t>Состав и назначение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E9E5DC"/>
          </w:tcPr>
          <w:p>
            <w:pPr>
              <w:spacing w:after="0"/>
            </w:pPr>
            <w:r>
              <w:rPr>
                <w:sz w:val="18"/>
              </w:rPr>
              <w:t>Файл</w:t>
            </w:r>
          </w:p>
        </w:tc>
        <w:tc>
          <w:tcPr>
            <w:tcW w:type="dxa" w:w="3120"/>
            <w:shd w:fill="E9E5DC"/>
          </w:tcPr>
          <w:p>
            <w:pPr>
              <w:spacing w:after="0"/>
            </w:pPr>
            <w:r>
              <w:rPr>
                <w:sz w:val="18"/>
              </w:rPr>
              <w:t>Когда использовать</w:t>
            </w:r>
          </w:p>
        </w:tc>
        <w:tc>
          <w:tcPr>
            <w:tcW w:type="dxa" w:w="3120"/>
            <w:shd w:fill="E9E5DC"/>
          </w:tcPr>
          <w:p>
            <w:pPr>
              <w:spacing w:after="0"/>
            </w:pPr>
            <w:r>
              <w:rPr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01-ks-2.docx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При оформлении объёмов работ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Проект КС-2 с проверенными объёмами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02-ks-3.docx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При своде стоимости по КС-2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Проект КС-3 с проверенной суммой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03-akt-vypolnennyh-rabot.docx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фиксации выполненных работ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Акт с датой и подписями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04-akt-priemki.docx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При согласовании результата работ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Акт приёмки с замечаниями или подписями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05-peredatochnyy-akt.docx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При передаче пакета заказчику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Состав переданного и подтверждение вручения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06-zhurnal-obemov.xlsx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фиксации выполненных объёмов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Журнал и ссылки на доказательства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07-reestr-zamechaniy.xlsx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учёта и закрытия замечаний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Статусы, сроки и доказательства закрытия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08-reestr-peredachi.xlsx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фиксации состава и передачи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Дата, канал, получатель и подтверждение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09-checklist-peredachi.pdf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Перед передачей комплекта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Отмеченные проверки и пробелы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10-sroki-hraneniya.pdf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организации хранения и подтверждений передачи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Определены правила хранения по виду документов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11-slovar-poley.docx</w:t>
            </w:r>
          </w:p>
        </w:tc>
        <w:tc>
          <w:tcPr>
            <w:tcW w:type="dxa" w:w="3120"/>
          </w:tcPr>
          <w:p>
            <w:r>
              <w:t>Для заполнения форм: значения полей и источники данных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Проверены исходные данные для заполнения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12-pretenziya-na-neoplatu-po-ks-2.docx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После проверки приёмки, срока оплаты и претензионного порядка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Адаптированная претензия с приложениями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13-uvedomlenie-o-prosrochke-oplaty.docx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При наступлении просрочки оплаты по договору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Адаптированное уведомление и доказательство отправки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14-raschet-procentov-395-gk.xlsx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расчёта процентов по ст. 395 ГК РФ по периодам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Проверенный расчёт с исходными данными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15-algoritm-pri-zaderzhke-oplaty.docx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выбора следующего шага при задержке оплаты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План действий и контроль сроков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16-iskovoe-zayavlenie-o-vzyskanii.docx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Перед подготовкой обращения в арбитражный суд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Адаптированный проект иска и список приложений</w:t>
            </w:r>
          </w:p>
        </w:tc>
      </w:tr>
    </w:tbl>
    <w:p>
      <w:pPr>
        <w:pStyle w:val="Heading1"/>
      </w:pPr>
      <w:r>
        <w:t>Правила адаптации</w:t>
      </w:r>
    </w:p>
    <w:p>
      <w:pPr>
        <w:pStyle w:val="ListBullet"/>
      </w:pPr>
      <w:r>
        <w:t>Заполните поля в квадратных и двойных фигурных скобках, затем удалите обозначения полей и подсказки. Проверьте заполненную форму перед отправкой.</w:t>
      </w:r>
    </w:p>
    <w:p>
      <w:pPr>
        <w:pStyle w:val="ListBullet"/>
      </w:pPr>
      <w:r>
        <w:t>Термины и сроки должны совпадать с договором.</w:t>
      </w:r>
    </w:p>
    <w:p>
      <w:pPr>
        <w:pStyle w:val="ListBullet"/>
      </w:pPr>
      <w:r>
        <w:t>Не меняйте факты задним числом; выпускайте новую версию.</w:t>
      </w:r>
    </w:p>
    <w:p>
      <w:pPr>
        <w:pStyle w:val="ListBullet"/>
      </w:pPr>
      <w:r>
        <w:t>Сохраняйте подтверждение доставки рядом с отправленным файлом.</w:t>
      </w:r>
    </w:p>
    <w:p>
      <w:pPr>
        <w:pStyle w:val="ListBullet"/>
      </w:pPr>
      <w:r>
        <w:t>Сопоставьте формулировки с условиями договора и подтверждающими документами объекта.</w:t>
      </w:r>
    </w:p>
    <w:p>
      <w:pPr>
        <w:pStyle w:val="ListBullet"/>
      </w:pPr>
      <w:r>
        <w:t>Сверьте правовые нормы и реквизиты на дату использования; ставки, сроки и порядок берите из источников, указанных в соответствующем файле.</w:t>
      </w:r>
    </w:p>
    <w:p>
      <w:pPr>
        <w:pStyle w:val="Heading1"/>
      </w:pPr>
      <w:r>
        <w:t>Структура папки объекта</w:t>
      </w:r>
    </w:p>
    <w:p>
      <w:r>
        <w:t>01_Исходные → 02_Рабочие версии → 03_На согласовании → 04_Подписано → 05_Доказательства передачи → 06_Оплата</w:t>
      </w:r>
    </w:p>
    <w:p>
      <w:pPr>
        <w:pStyle w:val="Heading1"/>
      </w:pPr>
      <w:r>
        <w:t>Контроль результата</w:t>
      </w:r>
    </w:p>
    <w:p>
      <w:r>
        <w:t>Пакет внедрён, когда по каждому объёму зафиксированы основание, факт выполнения и доказательства в журнале 06, суммы согласованы в формах 01–03, состав и передача отмечены в 05 и 08, замечания отражены в 07. Срок оплаты берите из договора и проверяйте по словарю 11. Частичные оплаты сверяйте с банковскими выписками перед расчётом в 14.</w:t>
      </w:r>
    </w:p>
    <w:p>
      <w:pPr>
        <w:pStyle w:val="Heading2"/>
      </w:pPr>
      <w:r>
        <w:rPr>
          <w:color w:val="000000"/>
          <w:sz w:val="20"/>
        </w:rPr>
        <w:t>Происхождение и применение форм</w:t>
      </w:r>
    </w:p>
    <w:p>
      <w:pPr/>
      <w:r>
        <w:t>Файлы 01 и 02 воспроизводят реквизиты и структуру унифицированных форм № КС-2 (ОКУД 0322005) и № КС-3 (ОКУД 0322001), утвержденных постановлением Госкомстата России от 11.11.1999 № 100. Перед применением сверьте форму с договором и принятой учетной политикой. Унифицированные формы первичных документов в общем случае не являются обязательными с 2013 года; конкретные требования договора и законодательства для вашего случая проверяются отдельно.</w:t>
      </w:r>
    </w:p>
    <w:p>
      <w:pPr/>
      <w:r>
        <w:t>КС-2 содержит восемь граф, включая отдельные номер позиции сметы и номер единичной расценки. КС-3 содержит шесть граф, включая код, суммы с начала работ и года и за отчетный период. Заполните реквизиты участников, расчетные суммы, ОКПО и подписи. Если поле не относится к вашей ситуации, отразите это в порядке, согласованном сторонами; не удаляйте графы без согласования.</w:t>
      </w:r>
    </w:p>
    <w:p>
      <w:pPr/>
      <w:r>
        <w:t>Операционный журнал 06 служит сверке объема и доказательств; он не является унифицированной формой КС-6а. Файлы 03–05 и 07–16 — рабочие и договорные документы комплекта, а не формы, утвержденные Госкомстатом или Минстроем. Если договор требует другую форму или специальный порядок приемки, применяйте его. Источник КС-2 и КС-3: https://www.consultant.ru/document/cons_doc_LAW_26303/ 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Инструкция — Закрытие работ  •  редакция 08.10.2026  • 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МАРЖА В БЕТОНЕ  /  ФОРМЫ И ПОРЯДОК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3438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3438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B49A65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