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Дополнительное соглашение об изменении объёма и цены</w:t>
      </w:r>
    </w:p>
    <w:p>
      <w:r>
        <w:rPr>
          <w:color w:val="E85D22"/>
        </w:rPr>
        <w:t>Заполните поля в квадратных скобках и удалите подсказки перед отправкой.</w:t>
      </w:r>
    </w:p>
    <w:p>
      <w:pPr>
        <w:pStyle w:val="Heading1"/>
      </w:pPr>
      <w:r>
        <w:t>Изменение</w:t>
      </w:r>
    </w:p>
    <w:p>
      <w:pPr>
        <w:pStyle w:val="ListBullet"/>
      </w:pPr>
      <w:r>
        <w:t>Добавить/исключить работы: [___]</w:t>
      </w:r>
    </w:p>
    <w:p>
      <w:pPr>
        <w:pStyle w:val="ListBullet"/>
      </w:pPr>
      <w:r>
        <w:t>Изменить цену на: [___]</w:t>
      </w:r>
    </w:p>
    <w:p>
      <w:pPr>
        <w:pStyle w:val="Heading1"/>
      </w:pPr>
      <w:r>
        <w:t>Документы</w:t>
      </w:r>
    </w:p>
    <w:p>
      <w:pPr>
        <w:pStyle w:val="ListBullet"/>
      </w:pPr>
      <w:r>
        <w:t>Новая ведомость объёмов и калькуляция являются приложениями.</w:t>
      </w:r>
    </w:p>
    <w:p>
      <w:pPr>
        <w:pStyle w:val="Heading1"/>
      </w:pPr>
      <w:r>
        <w:t>Контроль перед использованием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7560"/>
      </w:tblGrid>
      <w:tr>
        <w:tc>
          <w:tcPr>
            <w:tcW w:type="dxa" w:w="4680"/>
            <w:shd w:fill="E9E5DC"/>
            <w:vAlign w:val="center"/>
          </w:tcPr>
          <w:p>
            <w:r>
              <w:t>Статус</w:t>
            </w:r>
          </w:p>
        </w:tc>
        <w:tc>
          <w:tcPr>
            <w:tcW w:type="dxa" w:w="4680"/>
            <w:shd w:fill="E9E5DC"/>
            <w:vAlign w:val="center"/>
          </w:tcPr>
          <w:p>
            <w:r>
              <w:t>Проверка</w:t>
            </w:r>
          </w:p>
        </w:tc>
      </w:tr>
      <w:tr>
        <w:tc>
          <w:tcPr>
            <w:tcW w:type="dxa" w:w="1800"/>
          </w:tcPr>
          <w:p>
            <w:r>
              <w:t>☐</w:t>
            </w:r>
          </w:p>
        </w:tc>
        <w:tc>
          <w:tcPr>
            <w:tcW w:type="dxa" w:w="7560"/>
          </w:tcPr>
          <w:p>
            <w:r>
              <w:t>Сверено с договором и приложениями</w:t>
            </w:r>
          </w:p>
        </w:tc>
      </w:tr>
      <w:tr>
        <w:tc>
          <w:tcPr>
            <w:tcW w:type="dxa" w:w="1800"/>
          </w:tcPr>
          <w:p>
            <w:r>
              <w:t>☐</w:t>
            </w:r>
          </w:p>
        </w:tc>
        <w:tc>
          <w:tcPr>
            <w:tcW w:type="dxa" w:w="7560"/>
          </w:tcPr>
          <w:p>
            <w:r>
              <w:t>Проверены полномочия подписанта и адресат</w:t>
            </w:r>
          </w:p>
        </w:tc>
      </w:tr>
      <w:tr>
        <w:tc>
          <w:tcPr>
            <w:tcW w:type="dxa" w:w="1800"/>
          </w:tcPr>
          <w:p>
            <w:r>
              <w:t>☐</w:t>
            </w:r>
          </w:p>
        </w:tc>
        <w:tc>
          <w:tcPr>
            <w:tcW w:type="dxa" w:w="7560"/>
          </w:tcPr>
          <w:p>
            <w:r>
              <w:t>Приложения названы и приложены</w:t>
            </w:r>
          </w:p>
        </w:tc>
      </w:tr>
      <w:tr>
        <w:tc>
          <w:tcPr>
            <w:tcW w:type="dxa" w:w="1800"/>
          </w:tcPr>
          <w:p>
            <w:r>
              <w:t>☐</w:t>
            </w:r>
          </w:p>
        </w:tc>
        <w:tc>
          <w:tcPr>
            <w:tcW w:type="dxa" w:w="7560"/>
          </w:tcPr>
          <w:p>
            <w:r>
              <w:t>Зафиксирован доказуемый канал отправки</w:t>
            </w:r>
          </w:p>
        </w:tc>
      </w:tr>
      <w:tr>
        <w:tc>
          <w:tcPr>
            <w:tcW w:type="dxa" w:w="1800"/>
          </w:tcPr>
          <w:p>
            <w:r>
              <w:t>☐</w:t>
            </w:r>
          </w:p>
        </w:tc>
        <w:tc>
          <w:tcPr>
            <w:tcW w:type="dxa" w:w="7560"/>
          </w:tcPr>
          <w:p>
            <w:r>
              <w:t>Юридически значимые формулировки проверены специалистом под объект</w:t>
            </w:r>
          </w:p>
        </w:tc>
      </w:tr>
    </w:tbl>
    <w:p>
      <w:r>
        <w:t>Важно: форма не заменяет анализ договора, проектной документации и обстоятельств конкретного объекта.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787878"/>
        <w:sz w:val="16"/>
      </w:rPr>
      <w:t>Дополнительное соглашение об изменении объёма и цены  •  версия 21.07.2026  •  marzhavbetone.ru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646464"/>
        <w:sz w:val="16"/>
      </w:rPr>
      <w:t>МАРЖА В БЕТОНЕ / РАБОЧИЙ ФОРМА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" w:hAnsi="Arial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Arial" w:hAnsi="Arial"/>
      <w:color w:val="242629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