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Как внедрить пакет «Закрытие работ»</w:t>
      </w:r>
    </w:p>
    <w:p>
      <w:r>
        <w:t>Провести выполненный объём через проверку, приёмку и запуск оплаты.</w:t>
      </w:r>
    </w:p>
    <w:p>
      <w:pPr>
        <w:pStyle w:val="Heading1"/>
      </w:pPr>
      <w:r>
        <w:t>Быстрый запуск за 60 минут</w:t>
      </w:r>
    </w:p>
    <w:p>
      <w:pPr>
        <w:pStyle w:val="ListNumber"/>
      </w:pPr>
      <w:r>
        <w:t>Скопируйте папку и назовите её по объекту и договору.</w:t>
      </w:r>
    </w:p>
    <w:p>
      <w:pPr>
        <w:pStyle w:val="ListNumber"/>
      </w:pPr>
      <w:r>
        <w:t>Назначьте владельца каждого реестра и резервного исполнителя.</w:t>
      </w:r>
    </w:p>
    <w:p>
      <w:pPr>
        <w:pStyle w:val="ListNumber"/>
      </w:pPr>
      <w:r>
        <w:t>Заполните постоянные данные: стороны, договор, объект, каналы уведомлений.</w:t>
      </w:r>
    </w:p>
    <w:p>
      <w:pPr>
        <w:pStyle w:val="ListNumber"/>
      </w:pPr>
      <w:r>
        <w:t>Выберите один текущий объём и проведите его по документам пакета.</w:t>
      </w:r>
    </w:p>
    <w:p>
      <w:pPr>
        <w:pStyle w:val="ListNumber"/>
      </w:pPr>
      <w:r>
        <w:t>Поставьте контрольные даты в календарь и проводите короткую проверку дважды в неделю.</w:t>
      </w:r>
    </w:p>
    <w:p>
      <w:pPr>
        <w:pStyle w:val="Heading1"/>
      </w:pPr>
      <w:r>
        <w:t>Состав и назначение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Файл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Когда использовать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01-ks-2.docx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оформлении объёмов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КС-2 с проверенными объёмами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02-ks-3.docx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своде стоимости по КС-2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КС-3 с проверенной суммой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03-akt-vypolnennyh-rabot.docx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с датой 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04-akt-priemki.docx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согласовании результата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приёмки с замечаниями или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05-peredatochnyy-akt.docx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передаче пакета заказчику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Состав переданного и подтверждение вручения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06-zhurnal-obemov.xlsx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объёмов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Журнал и ссылки на доказательства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07-reestr-zamechaniy.xlsx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учёта и закрытия замечаний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Статусы, сроки и доказательства закрытия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08-reestr-peredachi.xlsx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состава и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Дата, канал, получатель и подтверждение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09-checklist-peredachi.pdf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передачей комплекта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Отмеченные проверки и пробелы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10-sroki-hraneniya.pdf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организации хранения и подтверждений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Определены правила хранения по виду документов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11-slovar-poley.docx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заполнением шаблонов: значения полей и источники данных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Проверены исходные данные для заполнения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12-pretenziya-na-neoplatu-po-ks-2.docx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После проверки приёмки, срока оплаты и претензионного порядка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Адаптированная претензия с приложениями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13-uvedomlenie-o-prosrochke-oplaty.docx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наступлении просрочки оплаты по договору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Адаптированное уведомление и доказательство отправки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14-raschet-procentov-395-gk.xlsx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расчёта процентов по ст. 395 ГК РФ по периодам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Проверенный расчёт с исходными данными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15-algoritm-pri-zaderzhke-oplaty.docx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выбора следующего шага при задержке оплаты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План действий и контроль сроков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16-iskovoe-zayavlenie-o-vzyskanii.docx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подготовкой обращения в арбитражный суд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Адаптированный проект иска и список приложений</w:t>
            </w:r>
          </w:p>
        </w:tc>
      </w:tr>
    </w:tbl>
    <w:p>
      <w:pPr>
        <w:pStyle w:val="Heading1"/>
      </w:pPr>
      <w:r>
        <w:t>Правила адаптации</w:t>
      </w:r>
    </w:p>
    <w:p>
      <w:pPr>
        <w:pStyle w:val="ListBullet"/>
      </w:pPr>
      <w:r>
        <w:t>Заполните поля в квадратных и двойных фигурных скобках, затем удалите обозначения полей и подсказки. Не отправляйте незаполненный шаблон.</w:t>
      </w:r>
    </w:p>
    <w:p>
      <w:pPr>
        <w:pStyle w:val="ListBullet"/>
      </w:pPr>
      <w:r>
        <w:t>Термины и сроки должны совпадать с договором.</w:t>
      </w:r>
    </w:p>
    <w:p>
      <w:pPr>
        <w:pStyle w:val="ListBullet"/>
      </w:pPr>
      <w:r>
        <w:t>Не меняйте факты задним числом; выпускайте новую версию.</w:t>
      </w:r>
    </w:p>
    <w:p>
      <w:pPr>
        <w:pStyle w:val="ListBullet"/>
      </w:pPr>
      <w:r>
        <w:t>Сохраняйте подтверждение доставки рядом с отправленным файлом.</w:t>
      </w:r>
    </w:p>
    <w:p>
      <w:pPr>
        <w:pStyle w:val="ListBullet"/>
      </w:pPr>
      <w:r>
        <w:t>Спорные юридические формулировки согласуйте с профильным специалистом.</w:t>
      </w:r>
    </w:p>
    <w:p>
      <w:pPr>
        <w:pStyle w:val="ListBullet"/>
      </w:pPr>
      <w:r>
        <w:t>Сверьте правовые нормы и реквизиты на дату использования; ставки, сроки и порядок берите из источников, указанных в соответствующем файле.</w:t>
      </w:r>
    </w:p>
    <w:p>
      <w:pPr>
        <w:pStyle w:val="Heading1"/>
      </w:pPr>
      <w:r>
        <w:t>Структура папки объекта</w:t>
      </w:r>
    </w:p>
    <w:p>
      <w:r>
        <w:t>01_Исходные → 02_Рабочие версии → 03_На согласовании → 04_Подписано → 05_Доказательства передачи → 06_Оплата</w:t>
      </w:r>
    </w:p>
    <w:p>
      <w:pPr>
        <w:pStyle w:val="Heading1"/>
      </w:pPr>
      <w:r>
        <w:t>Контроль результата</w:t>
      </w:r>
    </w:p>
    <w:p>
      <w:r>
        <w:t>Пакет внедрён, когда по каждому объёму зафиксированы основание, факт выполнения и доказательства в журнале 06, суммы согласованы в формах 01–03, состав и передача отмечены в 05 и 08, замечания отражены в 07. Срок оплаты берите из договора и проверяйте по словарю 11. Частичные оплаты сверяйте с банковскими выписками перед расчётом в 14.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Закрытие работ  •  редакция 08.10.2026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49A65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