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Запрос о порядке освидетельствования скрытых работ</w:t>
      </w:r>
    </w:p>
    <w:p/>
    <w:p>
      <w:r>
        <w:t>Письмо направляется до начала работ, а не после первого спора. Оно снимает три вопроса, из-за которых акты потом возвращают: кого вызывать, за какое время и чем подтверждается вызов. Поля в двойных фигурных скобках заменяются вашими данными.</w:t>
      </w:r>
    </w:p>
    <w:p>
      <w:pPr>
        <w:pStyle w:val="Heading1"/>
      </w:pPr>
      <w:r>
        <w:t>Кому</w:t>
      </w:r>
    </w:p>
    <w:p>
      <w:pPr>
        <w:pStyle w:val="ListBullet"/>
      </w:pPr>
      <w:r>
        <w:t>{{НАИМЕНОВАНИЕ_ВТОРОЙ_СТОРОНЫ}}</w:t>
      </w:r>
    </w:p>
    <w:p>
      <w:pPr>
        <w:pStyle w:val="ListBullet"/>
      </w:pPr>
      <w:r>
        <w:t>{{ДОЛЖНОСТЬ_И_ФИО_АДРЕСАТА}}</w:t>
      </w:r>
    </w:p>
    <w:p>
      <w:pPr>
        <w:pStyle w:val="ListBullet"/>
      </w:pPr>
      <w:r>
        <w:t>{{АДРЕС_ДЛЯ_КОРРЕСПОНДЕНЦИИ}}</w:t>
      </w:r>
    </w:p>
    <w:p>
      <w:pPr>
        <w:pStyle w:val="Heading1"/>
      </w:pPr>
      <w:r>
        <w:t>От</w:t>
      </w:r>
    </w:p>
    <w:p>
      <w:pPr>
        <w:pStyle w:val="ListBullet"/>
      </w:pPr>
      <w:r>
        <w:t>{{НАИМЕНОВАНИЕ_ПОДРЯДЧИКА}}</w:t>
      </w:r>
    </w:p>
    <w:p>
      <w:pPr>
        <w:pStyle w:val="ListBullet"/>
      </w:pPr>
      <w:r>
        <w:t>Исх. № {{ИСХОДЯЩИЙ_НОМЕР}} от {{ДАТА_ДОКУМЕНТА}}</w:t>
      </w:r>
    </w:p>
    <w:p>
      <w:pPr>
        <w:pStyle w:val="ListBullet"/>
      </w:pPr>
      <w:r>
        <w:t>По договору {{НОМЕР_ДОГОВОРА}} от {{ДАТА_ДОГОВОРА}}, объект {{НАИМЕНОВАНИЕ_ОБЪЕКТА}}</w:t>
      </w:r>
    </w:p>
    <w:p>
      <w:pPr>
        <w:pStyle w:val="Heading1"/>
      </w:pPr>
      <w:r>
        <w:t>Текст письма</w:t>
      </w:r>
    </w:p>
    <w:p>
      <w:r>
        <w:t>В связи с началом работ по {{РАЗДЕЛ_ИЛИ_ВИД_РАБОТ}} на объекте {{НАИМЕНОВАНИЕ_ОБЪЕКТА}} просим подтвердить порядок освидетельствования работ, скрываемых последующими конструкциями.</w:t>
      </w:r>
    </w:p>
    <w:p>
      <w:pPr>
        <w:pStyle w:val="Heading1"/>
      </w:pPr>
      <w:r>
        <w:t>Просим сообщить</w:t>
      </w:r>
    </w:p>
    <w:p>
      <w:pPr>
        <w:pStyle w:val="ListNumber"/>
      </w:pPr>
      <w:r>
        <w:t>Перечень работ по указанному разделу, которые вторая сторона считает подлежащими освидетельствованию, если он шире предусмотренного проектом.</w:t>
      </w:r>
    </w:p>
    <w:p>
      <w:pPr>
        <w:pStyle w:val="ListNumber"/>
      </w:pPr>
      <w:r>
        <w:t>Представителей, участие которых обязательно при освидетельствовании, с должностями и контактами.</w:t>
      </w:r>
    </w:p>
    <w:p>
      <w:pPr>
        <w:pStyle w:val="ListNumber"/>
      </w:pPr>
      <w:r>
        <w:t>Срок предварительного уведомления о готовности узла к освидетельствованию и способ уведомления, который вторая сторона признаёт надлежащим.</w:t>
      </w:r>
    </w:p>
    <w:p>
      <w:pPr>
        <w:pStyle w:val="ListNumber"/>
      </w:pPr>
      <w:r>
        <w:t>Требования к составу приложений к акту: исполнительные схемы, фотофиксация, документы о качестве материалов, данные испытаний.</w:t>
      </w:r>
    </w:p>
    <w:p>
      <w:pPr>
        <w:pStyle w:val="ListNumber"/>
      </w:pPr>
      <w:r>
        <w:t>Порядок действий при неявке представителя в согласованное время.</w:t>
      </w:r>
    </w:p>
    <w:p>
      <w:pPr>
        <w:pStyle w:val="Heading1"/>
      </w:pPr>
      <w:r>
        <w:t>Закрывающая фраза</w:t>
      </w:r>
    </w:p>
    <w:p>
      <w:r>
        <w:t>Ответ просим направить в письменной форме на адрес {{АДРЕС_ДЛЯ_ОТВЕТА}}. До получения ответа освидетельствование будет проводиться в порядке, предусмотренном договором и проектной документацией, с уведомлением по адресу, указанному в договоре.</w:t>
      </w:r>
    </w:p>
    <w:p>
      <w:pPr>
        <w:pStyle w:val="Heading1"/>
      </w:pPr>
      <w:r>
        <w:t>Приложения</w:t>
      </w:r>
    </w:p>
    <w:p>
      <w:pPr>
        <w:pStyle w:val="ListBullet"/>
      </w:pPr>
      <w:r>
        <w:t>График производства работ по разделу — на {{КОЛИЧЕСТВО_ЛИСТОВ}} л.</w:t>
      </w:r>
    </w:p>
    <w:p>
      <w:pPr>
        <w:pStyle w:val="Heading1"/>
      </w:pPr>
      <w:r>
        <w:t>Почему письмо работает до начала, а не после</w:t>
      </w:r>
    </w:p>
    <w:p>
      <w:r>
        <w:t>После того как узел закрыт, любой вопрос о порядке читается как попытка объяснить отсутствие акта. До начала тот же вопрос — обычная организация работ, и письменный ответ второй стороны становится опорой: порядок согласован ею самой.</w:t>
      </w:r>
    </w:p>
    <w:p>
      <w:pPr>
        <w:pStyle w:val="Heading1"/>
      </w:pPr>
      <w:r>
        <w:t>Чего этот файл не делает</w:t>
      </w:r>
    </w:p>
    <w:p>
      <w:r>
        <w:t>Материал показывает, что проверить, и не заменяет проверку конкретной ситуации специалистом. Перечень работ, подлежащих освидетельствованию, и требования к оформлению задаются проектной документацией, договором и действующей редакцией правил ведения исполнительной документации — сверяйтесь с ними, а не с этим файлом.</w:t>
      </w:r>
    </w:p>
    <w:p>
      <w:pPr>
        <w:pStyle w:val="Heading1"/>
      </w:pPr>
      <w:r>
        <w:t>Где начинается специалист</w:t>
      </w:r>
    </w:p>
    <w:p>
      <w:r>
        <w:t>Спор о качестве работ, судебная экспертиза, представительство и оценка перспектив дела — работа юриста и профильного эксперта. Этот файл до спора: он помогает не потерять акт там, где его ещё можно оформить.</w:t>
      </w:r>
    </w:p>
    <w:p>
      <w:pPr>
        <w:pStyle w:val="Heading1"/>
      </w:pPr>
      <w:r>
        <w:t>Чего здесь нет</w:t>
      </w:r>
    </w:p>
    <w:p>
      <w:pPr>
        <w:pStyle w:val="ListBullet"/>
      </w:pPr>
      <w:r>
        <w:t>уведомления о готовности узла к освидетельствованию</w:t>
      </w:r>
    </w:p>
    <w:p>
      <w:pPr>
        <w:pStyle w:val="ListBullet"/>
      </w:pPr>
      <w:r>
        <w:t>формы самого акта и исполнительной схемы</w:t>
      </w:r>
    </w:p>
    <w:p>
      <w:pPr>
        <w:pStyle w:val="ListBullet"/>
      </w:pPr>
      <w:r>
        <w:t>ответа на замечания к переданному комплекту</w:t>
      </w:r>
    </w:p>
    <w:p>
      <w:pPr>
        <w:pStyle w:val="Heading1"/>
      </w:pPr>
      <w:r>
        <w:t>Где это лежит</w:t>
      </w:r>
    </w:p>
    <w:p>
      <w:r>
        <w:t>Формы и журналы — в комплекте «Акты скрытых работ и исполнительная документация»: заготовки актов освидетельствования, шаблон исполнительной схемы, общий журнал работ, журнал входного контроля, реестры паспортов и сертификатов, уведомление о готовности, акт приёмки документации, письмо на замечания и график их устранения. Страница комплекта — /products/p4-ispolnitelnaya-dokumentaciya-pto.html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